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4750" w:rsidRDefault="004F7FD1">
      <w:pPr>
        <w:jc w:val="center"/>
      </w:pPr>
      <w:r>
        <w:rPr>
          <w:b/>
          <w:sz w:val="36"/>
        </w:rPr>
        <w:t xml:space="preserve">Kupní smlouva </w:t>
      </w:r>
    </w:p>
    <w:p w:rsidR="00B44750" w:rsidRDefault="004F7FD1">
      <w:pPr>
        <w:jc w:val="center"/>
      </w:pPr>
      <w:r>
        <w:t>níže uvedeného dne, měsíce a roku dle ustanovení § 2079 a násl. zákona č. 89/2012 Sb., občanský zákoník, v aktuálním znění</w:t>
      </w:r>
    </w:p>
    <w:p w:rsidR="00B44750" w:rsidRDefault="00B44750"/>
    <w:p w:rsidR="00B44750" w:rsidRDefault="004F7FD1">
      <w:r>
        <w:rPr>
          <w:shd w:val="clear" w:color="auto" w:fill="FFFF00"/>
        </w:rPr>
        <w:t>„…“</w:t>
      </w:r>
    </w:p>
    <w:p w:rsidR="00B44750" w:rsidRDefault="00B44750"/>
    <w:p w:rsidR="00B44750" w:rsidRDefault="004F7FD1">
      <w:r>
        <w:t>(dále jen „prodávající“)</w:t>
      </w:r>
    </w:p>
    <w:p w:rsidR="00B44750" w:rsidRDefault="00B44750"/>
    <w:p w:rsidR="00B44750" w:rsidRDefault="004F7FD1">
      <w:pPr>
        <w:spacing w:after="0"/>
      </w:pPr>
      <w:r>
        <w:t>Domov pro seniory Dobřichovice</w:t>
      </w:r>
    </w:p>
    <w:p w:rsidR="00B44750" w:rsidRDefault="004F7FD1">
      <w:pPr>
        <w:spacing w:after="0"/>
      </w:pPr>
      <w:r>
        <w:t>Příspěvková organizace hl. města Prahy</w:t>
      </w:r>
    </w:p>
    <w:p w:rsidR="00B44750" w:rsidRDefault="004F7FD1">
      <w:pPr>
        <w:spacing w:after="0"/>
      </w:pPr>
      <w:r>
        <w:t>Brunšov 365, 252 31 Všenory</w:t>
      </w:r>
    </w:p>
    <w:p w:rsidR="00B44750" w:rsidRDefault="004F7FD1">
      <w:pPr>
        <w:spacing w:after="0"/>
      </w:pPr>
      <w:r>
        <w:t>IČ 70875880</w:t>
      </w:r>
    </w:p>
    <w:p w:rsidR="00B44750" w:rsidRDefault="004F7FD1">
      <w:pPr>
        <w:spacing w:after="0"/>
      </w:pPr>
      <w:r>
        <w:t xml:space="preserve">Zastoupený Bc. Robertem </w:t>
      </w:r>
      <w:proofErr w:type="spellStart"/>
      <w:r>
        <w:t>Pitrákem</w:t>
      </w:r>
      <w:proofErr w:type="spellEnd"/>
      <w:r>
        <w:t>, ředitelem</w:t>
      </w:r>
    </w:p>
    <w:p w:rsidR="00B44750" w:rsidRDefault="00B44750"/>
    <w:p w:rsidR="00B44750" w:rsidRDefault="004F7FD1">
      <w:pPr>
        <w:rPr>
          <w:b/>
          <w:i/>
        </w:rPr>
      </w:pPr>
      <w:r>
        <w:t>(dále jen „kupující“)</w:t>
      </w:r>
    </w:p>
    <w:p w:rsidR="00B44750" w:rsidRDefault="00B44750">
      <w:pPr>
        <w:rPr>
          <w:b/>
          <w:i/>
        </w:rPr>
      </w:pPr>
    </w:p>
    <w:p w:rsidR="00B44750" w:rsidRDefault="004F7FD1">
      <w:pPr>
        <w:jc w:val="center"/>
        <w:rPr>
          <w:b/>
          <w:sz w:val="32"/>
        </w:rPr>
      </w:pPr>
      <w:r>
        <w:t xml:space="preserve">uzavřeli tuto </w:t>
      </w:r>
    </w:p>
    <w:p w:rsidR="00B44750" w:rsidRDefault="004F7FD1">
      <w:pPr>
        <w:jc w:val="center"/>
        <w:rPr>
          <w:sz w:val="22"/>
        </w:rPr>
      </w:pPr>
      <w:r>
        <w:rPr>
          <w:b/>
          <w:sz w:val="32"/>
        </w:rPr>
        <w:t>Kupní smlouvu</w:t>
      </w:r>
    </w:p>
    <w:p w:rsidR="00B44750" w:rsidRDefault="004F7FD1">
      <w:pPr>
        <w:jc w:val="center"/>
      </w:pPr>
      <w:r>
        <w:rPr>
          <w:sz w:val="22"/>
        </w:rPr>
        <w:t>dále také („smlouva“)</w:t>
      </w:r>
    </w:p>
    <w:p w:rsidR="00B44750" w:rsidRDefault="00B44750"/>
    <w:p w:rsidR="00B44750" w:rsidRDefault="004F7FD1">
      <w:pPr>
        <w:jc w:val="center"/>
        <w:rPr>
          <w:b/>
        </w:rPr>
      </w:pPr>
      <w:r>
        <w:rPr>
          <w:b/>
        </w:rPr>
        <w:t>Článek 1</w:t>
      </w:r>
    </w:p>
    <w:p w:rsidR="00B44750" w:rsidRDefault="004F7FD1">
      <w:pPr>
        <w:jc w:val="center"/>
      </w:pPr>
      <w:r>
        <w:rPr>
          <w:b/>
        </w:rPr>
        <w:t>Úvodní ustanovení</w:t>
      </w:r>
    </w:p>
    <w:p w:rsidR="00B44750" w:rsidRDefault="00B44750"/>
    <w:p w:rsidR="00B44750" w:rsidRDefault="004F7FD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left="714" w:hanging="357"/>
        <w:jc w:val="both"/>
      </w:pPr>
      <w:r>
        <w:t>Kupující je příspěvkovou organizací hl. města Prahy zřízenou jako registrovaný poskytovatel pobytové sociální služby (č. registrace 1034718) podle ustanovení § 49 zákona č.108/2006 Sb., o sociálních službách.</w:t>
      </w:r>
    </w:p>
    <w:p w:rsidR="00B44750" w:rsidRDefault="004F7FD1">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0" w:line="220" w:lineRule="exact"/>
        <w:jc w:val="both"/>
      </w:pPr>
      <w:r>
        <w:t>Tato Smlouva je uzavřena na základě výběrového řízení k veřejné zakázce malého rozsahu na dodávky dle ustanovení § 27 zákona č. 134/2016 Sb., o zadávání veřejných zakázkách zadávanou postupem v souladu s ustanovením § 31 zákona, pod názvem „NÁKUP A INSTALACE ÚPRAVNY VODY“.</w:t>
      </w:r>
    </w:p>
    <w:p w:rsidR="00B44750" w:rsidRDefault="00B447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left="284" w:right="1418"/>
        <w:jc w:val="both"/>
      </w:pPr>
    </w:p>
    <w:p w:rsidR="00B44750" w:rsidRDefault="00B44750">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left="284" w:right="1418"/>
        <w:jc w:val="both"/>
      </w:pPr>
    </w:p>
    <w:p w:rsidR="00B44750" w:rsidRDefault="004F7FD1">
      <w:pPr>
        <w:jc w:val="center"/>
        <w:rPr>
          <w:b/>
        </w:rPr>
      </w:pPr>
      <w:r>
        <w:rPr>
          <w:b/>
        </w:rPr>
        <w:t>Článek 2</w:t>
      </w:r>
    </w:p>
    <w:p w:rsidR="00B44750" w:rsidRDefault="004F7FD1">
      <w:pPr>
        <w:jc w:val="center"/>
      </w:pPr>
      <w:r>
        <w:rPr>
          <w:b/>
        </w:rPr>
        <w:t>Předmět smlouvy</w:t>
      </w:r>
    </w:p>
    <w:p w:rsidR="00B44750" w:rsidRDefault="00B44750">
      <w:pPr>
        <w:pStyle w:val="lnek"/>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ight="1418"/>
        <w:jc w:val="both"/>
        <w:rPr>
          <w:rFonts w:ascii="Times New Roman" w:hAnsi="Times New Roman" w:cs="Times New Roman"/>
          <w:b w:val="0"/>
          <w:sz w:val="24"/>
          <w:szCs w:val="24"/>
          <w:lang w:val="cs-CZ"/>
        </w:rPr>
      </w:pPr>
    </w:p>
    <w:p w:rsidR="00B44750" w:rsidRDefault="004F7FD1">
      <w:pPr>
        <w:numPr>
          <w:ilvl w:val="0"/>
          <w:numId w:val="2"/>
        </w:numPr>
        <w:autoSpaceDE w:val="0"/>
        <w:jc w:val="both"/>
      </w:pPr>
      <w:r>
        <w:t xml:space="preserve">Předmětem této smlouvy je nákup </w:t>
      </w:r>
      <w:r w:rsidR="00437E26">
        <w:t xml:space="preserve">a instalace </w:t>
      </w:r>
      <w:r>
        <w:t xml:space="preserve">vody </w:t>
      </w:r>
      <w:r w:rsidR="00437E26">
        <w:t>úpravny</w:t>
      </w:r>
      <w:r w:rsidR="00437E26">
        <w:t xml:space="preserve"> </w:t>
      </w:r>
      <w:r>
        <w:t>v Domově pro seniory Dobřichovice, včetně montáže a zaškolení obsluhy (dále jen „předmět koupě“).</w:t>
      </w:r>
      <w:r>
        <w:tab/>
        <w:t xml:space="preserve">   </w:t>
      </w:r>
    </w:p>
    <w:p w:rsidR="00B44750" w:rsidRDefault="004F7FD1">
      <w:r>
        <w:tab/>
      </w:r>
      <w:r>
        <w:tab/>
      </w:r>
      <w:r>
        <w:tab/>
      </w:r>
      <w:r>
        <w:tab/>
      </w:r>
      <w:r>
        <w:tab/>
      </w:r>
      <w:r>
        <w:tab/>
      </w:r>
    </w:p>
    <w:p w:rsidR="00B44750" w:rsidRDefault="004F7FD1">
      <w:pPr>
        <w:numPr>
          <w:ilvl w:val="0"/>
          <w:numId w:val="2"/>
        </w:numPr>
        <w:jc w:val="both"/>
      </w:pPr>
      <w:r>
        <w:t>Prodávající se zavazuje, že touto smlouvou kupujícímu odevzdá předm</w:t>
      </w:r>
      <w:bookmarkStart w:id="0" w:name="_GoBack"/>
      <w:bookmarkEnd w:id="0"/>
      <w:r>
        <w:t>ět koupě a umožní tak kupujícímu nabýt vlastnické právo k předmětu koupě, a to se všemi součástmi a příslušenstvím a kupující výslovně prohlašuje, že předmět koupě tímto od strany prodávající kupuje a zavazuje se, že zaplatí prodávajícímu dohodnutou kupní cenu.</w:t>
      </w:r>
    </w:p>
    <w:p w:rsidR="00B44750" w:rsidRDefault="004F7FD1">
      <w:pPr>
        <w:numPr>
          <w:ilvl w:val="0"/>
          <w:numId w:val="2"/>
        </w:numPr>
        <w:jc w:val="both"/>
      </w:pPr>
      <w:r>
        <w:t xml:space="preserve">Místem plnění je sídlo kupujícího. </w:t>
      </w:r>
    </w:p>
    <w:p w:rsidR="00B44750" w:rsidRDefault="00B44750"/>
    <w:p w:rsidR="00B44750" w:rsidRDefault="00B44750"/>
    <w:p w:rsidR="00B44750" w:rsidRDefault="004F7FD1">
      <w:pPr>
        <w:jc w:val="center"/>
        <w:rPr>
          <w:b/>
        </w:rPr>
      </w:pPr>
      <w:r>
        <w:rPr>
          <w:b/>
        </w:rPr>
        <w:t>Článek 3</w:t>
      </w:r>
    </w:p>
    <w:p w:rsidR="00B44750" w:rsidRDefault="004F7FD1">
      <w:pPr>
        <w:jc w:val="center"/>
      </w:pPr>
      <w:r>
        <w:rPr>
          <w:b/>
        </w:rPr>
        <w:t xml:space="preserve">Bližší specifikace předmětu koupě </w:t>
      </w:r>
    </w:p>
    <w:p w:rsidR="00B44750" w:rsidRDefault="004F7FD1">
      <w:pPr>
        <w:numPr>
          <w:ilvl w:val="0"/>
          <w:numId w:val="6"/>
        </w:numPr>
        <w:rPr>
          <w:b/>
        </w:rPr>
      </w:pPr>
      <w:r>
        <w:t xml:space="preserve">Smluvní strany se dohodly na níže uvedené bližší specifikaci předmětu koupě: </w:t>
      </w:r>
    </w:p>
    <w:p w:rsidR="00B44750" w:rsidRDefault="00B44750">
      <w:pPr>
        <w:pStyle w:val="Odstavecseseznamem1"/>
        <w:widowControl w:val="0"/>
        <w:spacing w:after="0" w:line="100" w:lineRule="atLeast"/>
        <w:ind w:left="0"/>
        <w:rPr>
          <w:b/>
        </w:rPr>
      </w:pPr>
    </w:p>
    <w:tbl>
      <w:tblPr>
        <w:tblW w:w="0" w:type="auto"/>
        <w:tblInd w:w="333" w:type="dxa"/>
        <w:tblLayout w:type="fixed"/>
        <w:tblLook w:val="0000" w:firstRow="0" w:lastRow="0" w:firstColumn="0" w:lastColumn="0" w:noHBand="0" w:noVBand="0"/>
      </w:tblPr>
      <w:tblGrid>
        <w:gridCol w:w="5970"/>
        <w:gridCol w:w="1070"/>
        <w:gridCol w:w="1990"/>
      </w:tblGrid>
      <w:tr w:rsidR="00B44750">
        <w:trPr>
          <w:trHeight w:hRule="exact" w:val="403"/>
        </w:trPr>
        <w:tc>
          <w:tcPr>
            <w:tcW w:w="5970" w:type="dxa"/>
            <w:tcBorders>
              <w:top w:val="single" w:sz="4" w:space="0" w:color="000000"/>
              <w:left w:val="single" w:sz="4" w:space="0" w:color="000000"/>
              <w:bottom w:val="single" w:sz="4" w:space="0" w:color="000000"/>
            </w:tcBorders>
            <w:shd w:val="clear" w:color="auto" w:fill="auto"/>
          </w:tcPr>
          <w:p w:rsidR="00B44750" w:rsidRDefault="004F7FD1">
            <w:pPr>
              <w:pStyle w:val="Odstavecseseznamem1"/>
              <w:ind w:left="0"/>
              <w:rPr>
                <w:b/>
                <w:bCs/>
              </w:rPr>
            </w:pPr>
            <w:r>
              <w:rPr>
                <w:b/>
                <w:bCs/>
              </w:rPr>
              <w:t>Úpravna vody/automatický změkčovač</w:t>
            </w:r>
          </w:p>
        </w:tc>
        <w:tc>
          <w:tcPr>
            <w:tcW w:w="1070" w:type="dxa"/>
            <w:tcBorders>
              <w:top w:val="single" w:sz="4" w:space="0" w:color="000000"/>
              <w:left w:val="single" w:sz="4" w:space="0" w:color="000000"/>
              <w:bottom w:val="single" w:sz="4" w:space="0" w:color="000000"/>
            </w:tcBorders>
            <w:shd w:val="clear" w:color="auto" w:fill="auto"/>
            <w:vAlign w:val="bottom"/>
          </w:tcPr>
          <w:p w:rsidR="00B44750" w:rsidRDefault="004F7FD1">
            <w:pPr>
              <w:jc w:val="center"/>
              <w:rPr>
                <w:b/>
                <w:bCs/>
              </w:rPr>
            </w:pPr>
            <w:r>
              <w:rPr>
                <w:b/>
                <w:bCs/>
              </w:rPr>
              <w:t>Ano/ Ne</w:t>
            </w: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4750" w:rsidRDefault="004F7FD1">
            <w:pPr>
              <w:jc w:val="center"/>
            </w:pPr>
            <w:r>
              <w:rPr>
                <w:b/>
                <w:bCs/>
              </w:rPr>
              <w:t>Poznámka</w:t>
            </w:r>
          </w:p>
        </w:tc>
      </w:tr>
      <w:tr w:rsidR="00B44750">
        <w:trPr>
          <w:trHeight w:hRule="exact" w:val="403"/>
        </w:trPr>
        <w:tc>
          <w:tcPr>
            <w:tcW w:w="5970" w:type="dxa"/>
            <w:tcBorders>
              <w:top w:val="single" w:sz="4" w:space="0" w:color="000000"/>
              <w:left w:val="single" w:sz="4" w:space="0" w:color="000000"/>
              <w:bottom w:val="single" w:sz="4" w:space="0" w:color="000000"/>
            </w:tcBorders>
            <w:shd w:val="clear" w:color="auto" w:fill="auto"/>
          </w:tcPr>
          <w:p w:rsidR="00B44750" w:rsidRDefault="004F7FD1">
            <w:pPr>
              <w:pStyle w:val="Odstavecseseznamem1"/>
              <w:widowControl w:val="0"/>
              <w:spacing w:after="0" w:line="100" w:lineRule="atLeast"/>
              <w:rPr>
                <w:shd w:val="clear" w:color="auto" w:fill="FFFF00"/>
              </w:rPr>
            </w:pPr>
            <w:r>
              <w:rPr>
                <w:b/>
              </w:rPr>
              <w:t xml:space="preserve">Připojení – 6/4“ </w:t>
            </w:r>
          </w:p>
        </w:tc>
        <w:tc>
          <w:tcPr>
            <w:tcW w:w="1070" w:type="dxa"/>
            <w:tcBorders>
              <w:top w:val="single" w:sz="4" w:space="0" w:color="000000"/>
              <w:left w:val="single" w:sz="4" w:space="0" w:color="000000"/>
              <w:bottom w:val="single" w:sz="4" w:space="0" w:color="000000"/>
            </w:tcBorders>
            <w:shd w:val="clear" w:color="auto" w:fill="auto"/>
            <w:vAlign w:val="bottom"/>
          </w:tcPr>
          <w:p w:rsidR="00B44750" w:rsidRDefault="004F7FD1">
            <w:pPr>
              <w:jc w:val="center"/>
              <w:rPr>
                <w:b/>
              </w:rPr>
            </w:pPr>
            <w:r>
              <w:rPr>
                <w:shd w:val="clear" w:color="auto" w:fill="FFFF00"/>
              </w:rPr>
              <w:t>„…“</w:t>
            </w:r>
          </w:p>
          <w:p w:rsidR="00B44750" w:rsidRDefault="00B44750">
            <w:pPr>
              <w:jc w:val="center"/>
              <w:rPr>
                <w:b/>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4750" w:rsidRDefault="004F7FD1">
            <w:pPr>
              <w:jc w:val="center"/>
              <w:rPr>
                <w:b/>
              </w:rPr>
            </w:pPr>
            <w:r>
              <w:rPr>
                <w:b/>
              </w:rPr>
              <w:t> </w:t>
            </w:r>
            <w:r>
              <w:rPr>
                <w:shd w:val="clear" w:color="auto" w:fill="FFFF00"/>
              </w:rPr>
              <w:t>„…“</w:t>
            </w:r>
          </w:p>
          <w:p w:rsidR="00B44750" w:rsidRDefault="00B44750">
            <w:pPr>
              <w:jc w:val="center"/>
              <w:rPr>
                <w:b/>
              </w:rPr>
            </w:pPr>
          </w:p>
        </w:tc>
      </w:tr>
      <w:tr w:rsidR="00B44750">
        <w:trPr>
          <w:trHeight w:hRule="exact" w:val="403"/>
        </w:trPr>
        <w:tc>
          <w:tcPr>
            <w:tcW w:w="5970" w:type="dxa"/>
            <w:tcBorders>
              <w:top w:val="single" w:sz="4" w:space="0" w:color="000000"/>
              <w:left w:val="single" w:sz="4" w:space="0" w:color="000000"/>
              <w:bottom w:val="single" w:sz="4" w:space="0" w:color="000000"/>
            </w:tcBorders>
            <w:shd w:val="clear" w:color="auto" w:fill="auto"/>
          </w:tcPr>
          <w:p w:rsidR="00B44750" w:rsidRDefault="004F7FD1">
            <w:pPr>
              <w:pStyle w:val="Odstavecseseznamem1"/>
              <w:widowControl w:val="0"/>
              <w:spacing w:after="0" w:line="100" w:lineRule="atLeast"/>
              <w:rPr>
                <w:b/>
              </w:rPr>
            </w:pPr>
            <w:r>
              <w:rPr>
                <w:b/>
              </w:rPr>
              <w:t xml:space="preserve">Průtok min. </w:t>
            </w:r>
            <w:proofErr w:type="gramStart"/>
            <w:r>
              <w:rPr>
                <w:b/>
              </w:rPr>
              <w:t>6m3</w:t>
            </w:r>
            <w:proofErr w:type="gramEnd"/>
            <w:r>
              <w:rPr>
                <w:b/>
              </w:rPr>
              <w:t>/h</w:t>
            </w:r>
          </w:p>
        </w:tc>
        <w:tc>
          <w:tcPr>
            <w:tcW w:w="1070" w:type="dxa"/>
            <w:tcBorders>
              <w:top w:val="single" w:sz="4" w:space="0" w:color="000000"/>
              <w:left w:val="single" w:sz="4" w:space="0" w:color="000000"/>
              <w:bottom w:val="single" w:sz="4" w:space="0" w:color="000000"/>
            </w:tcBorders>
            <w:shd w:val="clear" w:color="auto" w:fill="auto"/>
            <w:vAlign w:val="bottom"/>
          </w:tcPr>
          <w:p w:rsidR="00B44750" w:rsidRDefault="004F7FD1">
            <w:pPr>
              <w:jc w:val="center"/>
              <w:rPr>
                <w:b/>
              </w:rPr>
            </w:pPr>
            <w:r>
              <w:rPr>
                <w:b/>
              </w:rPr>
              <w:t> </w:t>
            </w:r>
            <w:r>
              <w:rPr>
                <w:shd w:val="clear" w:color="auto" w:fill="FFFF00"/>
              </w:rPr>
              <w:t>„…“</w:t>
            </w:r>
          </w:p>
          <w:p w:rsidR="00B44750" w:rsidRDefault="00B44750">
            <w:pPr>
              <w:jc w:val="center"/>
              <w:rPr>
                <w:b/>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4750" w:rsidRDefault="004F7FD1">
            <w:pPr>
              <w:jc w:val="center"/>
              <w:rPr>
                <w:b/>
              </w:rPr>
            </w:pPr>
            <w:r>
              <w:rPr>
                <w:b/>
              </w:rPr>
              <w:t> </w:t>
            </w:r>
            <w:r>
              <w:rPr>
                <w:shd w:val="clear" w:color="auto" w:fill="FFFF00"/>
              </w:rPr>
              <w:t>„…“</w:t>
            </w:r>
          </w:p>
          <w:p w:rsidR="00B44750" w:rsidRDefault="00B44750">
            <w:pPr>
              <w:jc w:val="center"/>
              <w:rPr>
                <w:b/>
              </w:rPr>
            </w:pPr>
          </w:p>
        </w:tc>
      </w:tr>
      <w:tr w:rsidR="00B44750">
        <w:trPr>
          <w:trHeight w:hRule="exact" w:val="403"/>
        </w:trPr>
        <w:tc>
          <w:tcPr>
            <w:tcW w:w="5970" w:type="dxa"/>
            <w:tcBorders>
              <w:top w:val="single" w:sz="4" w:space="0" w:color="000000"/>
              <w:left w:val="single" w:sz="4" w:space="0" w:color="000000"/>
              <w:bottom w:val="single" w:sz="4" w:space="0" w:color="000000"/>
            </w:tcBorders>
            <w:shd w:val="clear" w:color="auto" w:fill="auto"/>
          </w:tcPr>
          <w:p w:rsidR="00B44750" w:rsidRDefault="004F7FD1">
            <w:pPr>
              <w:pStyle w:val="Odstavecseseznamem1"/>
              <w:widowControl w:val="0"/>
              <w:spacing w:after="0" w:line="100" w:lineRule="atLeast"/>
              <w:rPr>
                <w:b/>
              </w:rPr>
            </w:pPr>
            <w:r>
              <w:rPr>
                <w:b/>
              </w:rPr>
              <w:t>Filtrační výkon min.</w:t>
            </w:r>
            <w:proofErr w:type="gramStart"/>
            <w:r>
              <w:rPr>
                <w:b/>
              </w:rPr>
              <w:t>10m3</w:t>
            </w:r>
            <w:proofErr w:type="gramEnd"/>
            <w:r>
              <w:rPr>
                <w:b/>
              </w:rPr>
              <w:t>/den</w:t>
            </w:r>
          </w:p>
        </w:tc>
        <w:tc>
          <w:tcPr>
            <w:tcW w:w="1070" w:type="dxa"/>
            <w:tcBorders>
              <w:top w:val="single" w:sz="4" w:space="0" w:color="000000"/>
              <w:left w:val="single" w:sz="4" w:space="0" w:color="000000"/>
              <w:bottom w:val="single" w:sz="4" w:space="0" w:color="000000"/>
            </w:tcBorders>
            <w:shd w:val="clear" w:color="auto" w:fill="auto"/>
            <w:vAlign w:val="bottom"/>
          </w:tcPr>
          <w:p w:rsidR="00B44750" w:rsidRDefault="004F7FD1">
            <w:pPr>
              <w:jc w:val="center"/>
              <w:rPr>
                <w:b/>
              </w:rPr>
            </w:pPr>
            <w:r>
              <w:rPr>
                <w:b/>
              </w:rPr>
              <w:t> </w:t>
            </w:r>
            <w:r>
              <w:rPr>
                <w:shd w:val="clear" w:color="auto" w:fill="FFFF00"/>
              </w:rPr>
              <w:t>„…“</w:t>
            </w:r>
          </w:p>
          <w:p w:rsidR="00B44750" w:rsidRDefault="00B44750">
            <w:pPr>
              <w:jc w:val="center"/>
              <w:rPr>
                <w:b/>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4750" w:rsidRDefault="004F7FD1">
            <w:pPr>
              <w:jc w:val="center"/>
              <w:rPr>
                <w:b/>
              </w:rPr>
            </w:pPr>
            <w:r>
              <w:rPr>
                <w:b/>
              </w:rPr>
              <w:t> </w:t>
            </w:r>
            <w:r>
              <w:rPr>
                <w:shd w:val="clear" w:color="auto" w:fill="FFFF00"/>
              </w:rPr>
              <w:t>„…“</w:t>
            </w:r>
          </w:p>
          <w:p w:rsidR="00B44750" w:rsidRDefault="00B44750">
            <w:pPr>
              <w:jc w:val="center"/>
              <w:rPr>
                <w:b/>
              </w:rPr>
            </w:pPr>
          </w:p>
        </w:tc>
      </w:tr>
      <w:tr w:rsidR="00B44750">
        <w:trPr>
          <w:trHeight w:hRule="exact" w:val="403"/>
        </w:trPr>
        <w:tc>
          <w:tcPr>
            <w:tcW w:w="5970" w:type="dxa"/>
            <w:tcBorders>
              <w:top w:val="single" w:sz="4" w:space="0" w:color="000000"/>
              <w:left w:val="single" w:sz="4" w:space="0" w:color="000000"/>
              <w:bottom w:val="single" w:sz="4" w:space="0" w:color="000000"/>
            </w:tcBorders>
            <w:shd w:val="clear" w:color="auto" w:fill="auto"/>
          </w:tcPr>
          <w:p w:rsidR="00B44750" w:rsidRDefault="004F7FD1">
            <w:pPr>
              <w:pStyle w:val="Odstavecseseznamem1"/>
              <w:widowControl w:val="0"/>
              <w:spacing w:after="0" w:line="100" w:lineRule="atLeast"/>
              <w:rPr>
                <w:b/>
              </w:rPr>
            </w:pPr>
            <w:r>
              <w:rPr>
                <w:b/>
              </w:rPr>
              <w:t>Změkčení na hodnotu 6°dH</w:t>
            </w:r>
          </w:p>
        </w:tc>
        <w:tc>
          <w:tcPr>
            <w:tcW w:w="1070" w:type="dxa"/>
            <w:tcBorders>
              <w:top w:val="single" w:sz="4" w:space="0" w:color="000000"/>
              <w:left w:val="single" w:sz="4" w:space="0" w:color="000000"/>
              <w:bottom w:val="single" w:sz="4" w:space="0" w:color="000000"/>
            </w:tcBorders>
            <w:shd w:val="clear" w:color="auto" w:fill="auto"/>
            <w:vAlign w:val="bottom"/>
          </w:tcPr>
          <w:p w:rsidR="00B44750" w:rsidRDefault="004F7FD1">
            <w:pPr>
              <w:jc w:val="center"/>
              <w:rPr>
                <w:b/>
              </w:rPr>
            </w:pPr>
            <w:r>
              <w:rPr>
                <w:b/>
              </w:rPr>
              <w:t> </w:t>
            </w:r>
            <w:r>
              <w:rPr>
                <w:shd w:val="clear" w:color="auto" w:fill="FFFF00"/>
              </w:rPr>
              <w:t>„…“</w:t>
            </w:r>
          </w:p>
          <w:p w:rsidR="00B44750" w:rsidRDefault="00B44750">
            <w:pPr>
              <w:jc w:val="center"/>
              <w:rPr>
                <w:b/>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4750" w:rsidRDefault="004F7FD1">
            <w:pPr>
              <w:jc w:val="center"/>
              <w:rPr>
                <w:b/>
              </w:rPr>
            </w:pPr>
            <w:r>
              <w:rPr>
                <w:b/>
              </w:rPr>
              <w:t> </w:t>
            </w:r>
            <w:r>
              <w:rPr>
                <w:shd w:val="clear" w:color="auto" w:fill="FFFF00"/>
              </w:rPr>
              <w:t>„…“</w:t>
            </w:r>
          </w:p>
          <w:p w:rsidR="00B44750" w:rsidRDefault="00B44750">
            <w:pPr>
              <w:jc w:val="center"/>
              <w:rPr>
                <w:b/>
              </w:rPr>
            </w:pPr>
          </w:p>
        </w:tc>
      </w:tr>
      <w:tr w:rsidR="00B44750">
        <w:trPr>
          <w:trHeight w:hRule="exact" w:val="403"/>
        </w:trPr>
        <w:tc>
          <w:tcPr>
            <w:tcW w:w="5970" w:type="dxa"/>
            <w:tcBorders>
              <w:top w:val="single" w:sz="4" w:space="0" w:color="000000"/>
              <w:left w:val="single" w:sz="4" w:space="0" w:color="000000"/>
              <w:bottom w:val="single" w:sz="4" w:space="0" w:color="000000"/>
            </w:tcBorders>
            <w:shd w:val="clear" w:color="auto" w:fill="auto"/>
          </w:tcPr>
          <w:p w:rsidR="00B44750" w:rsidRDefault="004F7FD1">
            <w:pPr>
              <w:pStyle w:val="Odstavecseseznamem1"/>
              <w:widowControl w:val="0"/>
              <w:spacing w:after="0" w:line="100" w:lineRule="atLeast"/>
              <w:rPr>
                <w:b/>
              </w:rPr>
            </w:pPr>
            <w:r>
              <w:rPr>
                <w:b/>
              </w:rPr>
              <w:t>Filtr mechanických nečistot</w:t>
            </w:r>
          </w:p>
        </w:tc>
        <w:tc>
          <w:tcPr>
            <w:tcW w:w="1070" w:type="dxa"/>
            <w:tcBorders>
              <w:top w:val="single" w:sz="4" w:space="0" w:color="000000"/>
              <w:left w:val="single" w:sz="4" w:space="0" w:color="000000"/>
              <w:bottom w:val="single" w:sz="4" w:space="0" w:color="000000"/>
            </w:tcBorders>
            <w:shd w:val="clear" w:color="auto" w:fill="auto"/>
            <w:vAlign w:val="bottom"/>
          </w:tcPr>
          <w:p w:rsidR="00B44750" w:rsidRDefault="004F7FD1">
            <w:pPr>
              <w:jc w:val="center"/>
              <w:rPr>
                <w:b/>
              </w:rPr>
            </w:pPr>
            <w:r>
              <w:rPr>
                <w:b/>
              </w:rPr>
              <w:t> </w:t>
            </w:r>
            <w:r>
              <w:rPr>
                <w:shd w:val="clear" w:color="auto" w:fill="FFFF00"/>
              </w:rPr>
              <w:t>„…“</w:t>
            </w:r>
          </w:p>
          <w:p w:rsidR="00B44750" w:rsidRDefault="00B44750">
            <w:pPr>
              <w:jc w:val="center"/>
              <w:rPr>
                <w:b/>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4750" w:rsidRDefault="004F7FD1">
            <w:pPr>
              <w:jc w:val="center"/>
              <w:rPr>
                <w:b/>
              </w:rPr>
            </w:pPr>
            <w:r>
              <w:rPr>
                <w:b/>
              </w:rPr>
              <w:t> </w:t>
            </w:r>
            <w:r>
              <w:rPr>
                <w:shd w:val="clear" w:color="auto" w:fill="FFFF00"/>
              </w:rPr>
              <w:t>„…“</w:t>
            </w:r>
          </w:p>
          <w:p w:rsidR="00B44750" w:rsidRDefault="00B44750">
            <w:pPr>
              <w:jc w:val="center"/>
              <w:rPr>
                <w:b/>
              </w:rPr>
            </w:pPr>
          </w:p>
        </w:tc>
      </w:tr>
      <w:tr w:rsidR="00B44750">
        <w:trPr>
          <w:trHeight w:hRule="exact" w:val="403"/>
        </w:trPr>
        <w:tc>
          <w:tcPr>
            <w:tcW w:w="5970" w:type="dxa"/>
            <w:tcBorders>
              <w:top w:val="single" w:sz="4" w:space="0" w:color="000000"/>
              <w:left w:val="single" w:sz="4" w:space="0" w:color="000000"/>
              <w:bottom w:val="single" w:sz="4" w:space="0" w:color="000000"/>
            </w:tcBorders>
            <w:shd w:val="clear" w:color="auto" w:fill="auto"/>
          </w:tcPr>
          <w:p w:rsidR="00B44750" w:rsidRDefault="004F7FD1">
            <w:pPr>
              <w:pStyle w:val="Odstavecseseznamem1"/>
              <w:widowControl w:val="0"/>
              <w:spacing w:after="0" w:line="100" w:lineRule="atLeast"/>
              <w:rPr>
                <w:b/>
              </w:rPr>
            </w:pPr>
            <w:r>
              <w:rPr>
                <w:b/>
              </w:rPr>
              <w:t>Instalace vodovodního připojení</w:t>
            </w:r>
          </w:p>
        </w:tc>
        <w:tc>
          <w:tcPr>
            <w:tcW w:w="1070" w:type="dxa"/>
            <w:tcBorders>
              <w:top w:val="single" w:sz="4" w:space="0" w:color="000000"/>
              <w:left w:val="single" w:sz="4" w:space="0" w:color="000000"/>
              <w:bottom w:val="single" w:sz="4" w:space="0" w:color="000000"/>
            </w:tcBorders>
            <w:shd w:val="clear" w:color="auto" w:fill="auto"/>
            <w:vAlign w:val="bottom"/>
          </w:tcPr>
          <w:p w:rsidR="00B44750" w:rsidRDefault="004F7FD1">
            <w:pPr>
              <w:jc w:val="center"/>
              <w:rPr>
                <w:b/>
              </w:rPr>
            </w:pPr>
            <w:r>
              <w:rPr>
                <w:b/>
              </w:rPr>
              <w:t> </w:t>
            </w:r>
            <w:r>
              <w:rPr>
                <w:shd w:val="clear" w:color="auto" w:fill="FFFF00"/>
              </w:rPr>
              <w:t>„…“</w:t>
            </w:r>
          </w:p>
          <w:p w:rsidR="00B44750" w:rsidRDefault="00B44750">
            <w:pPr>
              <w:jc w:val="center"/>
              <w:rPr>
                <w:b/>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vAlign w:val="bottom"/>
          </w:tcPr>
          <w:p w:rsidR="00B44750" w:rsidRDefault="004F7FD1">
            <w:pPr>
              <w:jc w:val="center"/>
              <w:rPr>
                <w:b/>
              </w:rPr>
            </w:pPr>
            <w:r>
              <w:rPr>
                <w:b/>
              </w:rPr>
              <w:t> </w:t>
            </w:r>
            <w:r>
              <w:rPr>
                <w:shd w:val="clear" w:color="auto" w:fill="FFFF00"/>
              </w:rPr>
              <w:t>„…“</w:t>
            </w:r>
          </w:p>
          <w:p w:rsidR="00B44750" w:rsidRDefault="00B44750">
            <w:pPr>
              <w:jc w:val="center"/>
              <w:rPr>
                <w:b/>
              </w:rPr>
            </w:pPr>
          </w:p>
        </w:tc>
      </w:tr>
      <w:tr w:rsidR="00B44750">
        <w:trPr>
          <w:trHeight w:hRule="exact" w:val="403"/>
        </w:trPr>
        <w:tc>
          <w:tcPr>
            <w:tcW w:w="5970" w:type="dxa"/>
            <w:tcBorders>
              <w:top w:val="single" w:sz="4" w:space="0" w:color="000000"/>
              <w:left w:val="single" w:sz="4" w:space="0" w:color="000000"/>
              <w:bottom w:val="single" w:sz="4" w:space="0" w:color="000000"/>
            </w:tcBorders>
            <w:shd w:val="clear" w:color="auto" w:fill="auto"/>
          </w:tcPr>
          <w:p w:rsidR="00B44750" w:rsidRDefault="004F7FD1">
            <w:pPr>
              <w:pStyle w:val="Odstavecseseznamem1"/>
              <w:widowControl w:val="0"/>
              <w:spacing w:after="0" w:line="100" w:lineRule="atLeast"/>
              <w:rPr>
                <w:b/>
              </w:rPr>
            </w:pPr>
            <w:r>
              <w:rPr>
                <w:b/>
              </w:rPr>
              <w:t>Instalace odpadu</w:t>
            </w:r>
          </w:p>
        </w:tc>
        <w:tc>
          <w:tcPr>
            <w:tcW w:w="1070" w:type="dxa"/>
            <w:tcBorders>
              <w:top w:val="single" w:sz="4" w:space="0" w:color="000000"/>
              <w:left w:val="single" w:sz="4" w:space="0" w:color="000000"/>
              <w:bottom w:val="single" w:sz="4" w:space="0" w:color="000000"/>
            </w:tcBorders>
            <w:shd w:val="clear" w:color="auto" w:fill="auto"/>
          </w:tcPr>
          <w:p w:rsidR="00B44750" w:rsidRDefault="004F7FD1">
            <w:pPr>
              <w:rPr>
                <w:b/>
              </w:rPr>
            </w:pPr>
            <w:r>
              <w:rPr>
                <w:b/>
              </w:rPr>
              <w:t xml:space="preserve">   </w:t>
            </w:r>
            <w:r>
              <w:rPr>
                <w:shd w:val="clear" w:color="auto" w:fill="FFFF00"/>
              </w:rPr>
              <w:t>„…“</w:t>
            </w:r>
          </w:p>
          <w:p w:rsidR="00B44750" w:rsidRDefault="00B44750">
            <w:pPr>
              <w:rPr>
                <w:b/>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B44750" w:rsidRDefault="004F7FD1">
            <w:pPr>
              <w:rPr>
                <w:b/>
              </w:rPr>
            </w:pPr>
            <w:r>
              <w:rPr>
                <w:b/>
              </w:rPr>
              <w:t xml:space="preserve">           </w:t>
            </w:r>
            <w:r>
              <w:rPr>
                <w:shd w:val="clear" w:color="auto" w:fill="FFFF00"/>
              </w:rPr>
              <w:t>„…“</w:t>
            </w:r>
          </w:p>
          <w:p w:rsidR="00B44750" w:rsidRDefault="00B44750">
            <w:pPr>
              <w:rPr>
                <w:b/>
              </w:rPr>
            </w:pPr>
          </w:p>
        </w:tc>
      </w:tr>
      <w:tr w:rsidR="00B44750">
        <w:trPr>
          <w:trHeight w:hRule="exact" w:val="403"/>
        </w:trPr>
        <w:tc>
          <w:tcPr>
            <w:tcW w:w="5970" w:type="dxa"/>
            <w:tcBorders>
              <w:top w:val="single" w:sz="4" w:space="0" w:color="000000"/>
              <w:left w:val="single" w:sz="4" w:space="0" w:color="000000"/>
              <w:bottom w:val="single" w:sz="4" w:space="0" w:color="000000"/>
            </w:tcBorders>
            <w:shd w:val="clear" w:color="auto" w:fill="auto"/>
          </w:tcPr>
          <w:p w:rsidR="00B44750" w:rsidRDefault="004F7FD1">
            <w:pPr>
              <w:pStyle w:val="Odstavecseseznamem1"/>
              <w:widowControl w:val="0"/>
              <w:spacing w:after="0" w:line="100" w:lineRule="atLeast"/>
              <w:rPr>
                <w:b/>
              </w:rPr>
            </w:pPr>
            <w:r>
              <w:rPr>
                <w:b/>
              </w:rPr>
              <w:t>Elektro instalace vlastní jistič</w:t>
            </w:r>
          </w:p>
        </w:tc>
        <w:tc>
          <w:tcPr>
            <w:tcW w:w="1070" w:type="dxa"/>
            <w:tcBorders>
              <w:top w:val="single" w:sz="4" w:space="0" w:color="000000"/>
              <w:left w:val="single" w:sz="4" w:space="0" w:color="000000"/>
              <w:bottom w:val="single" w:sz="4" w:space="0" w:color="000000"/>
            </w:tcBorders>
            <w:shd w:val="clear" w:color="auto" w:fill="auto"/>
          </w:tcPr>
          <w:p w:rsidR="00B44750" w:rsidRDefault="004F7FD1">
            <w:pPr>
              <w:rPr>
                <w:b/>
              </w:rPr>
            </w:pPr>
            <w:r>
              <w:rPr>
                <w:b/>
              </w:rPr>
              <w:t xml:space="preserve">   </w:t>
            </w:r>
            <w:r>
              <w:rPr>
                <w:shd w:val="clear" w:color="auto" w:fill="FFFF00"/>
              </w:rPr>
              <w:t>„…“</w:t>
            </w:r>
          </w:p>
          <w:p w:rsidR="00B44750" w:rsidRDefault="00B44750">
            <w:pPr>
              <w:rPr>
                <w:b/>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B44750" w:rsidRDefault="004F7FD1">
            <w:pPr>
              <w:rPr>
                <w:b/>
              </w:rPr>
            </w:pPr>
            <w:r>
              <w:t xml:space="preserve">          </w:t>
            </w:r>
            <w:r>
              <w:rPr>
                <w:shd w:val="clear" w:color="auto" w:fill="FFFF00"/>
              </w:rPr>
              <w:t xml:space="preserve"> „…“</w:t>
            </w:r>
          </w:p>
          <w:p w:rsidR="00B44750" w:rsidRDefault="004F7FD1">
            <w:r>
              <w:rPr>
                <w:b/>
              </w:rPr>
              <w:t> </w:t>
            </w:r>
          </w:p>
        </w:tc>
      </w:tr>
      <w:tr w:rsidR="00B44750">
        <w:trPr>
          <w:trHeight w:hRule="exact" w:val="573"/>
        </w:trPr>
        <w:tc>
          <w:tcPr>
            <w:tcW w:w="5970" w:type="dxa"/>
            <w:tcBorders>
              <w:left w:val="single" w:sz="4" w:space="0" w:color="000000"/>
              <w:bottom w:val="single" w:sz="4" w:space="0" w:color="000000"/>
            </w:tcBorders>
            <w:shd w:val="clear" w:color="auto" w:fill="auto"/>
          </w:tcPr>
          <w:p w:rsidR="00B44750" w:rsidRDefault="004F7FD1">
            <w:pPr>
              <w:pStyle w:val="Odstavecseseznamem1"/>
              <w:widowControl w:val="0"/>
              <w:spacing w:after="0" w:line="100" w:lineRule="atLeast"/>
              <w:rPr>
                <w:b/>
              </w:rPr>
            </w:pPr>
            <w:r>
              <w:rPr>
                <w:b/>
              </w:rPr>
              <w:t>Doprava s kompletní instalací do stávajícího provozu</w:t>
            </w:r>
          </w:p>
        </w:tc>
        <w:tc>
          <w:tcPr>
            <w:tcW w:w="1070" w:type="dxa"/>
            <w:tcBorders>
              <w:left w:val="single" w:sz="4" w:space="0" w:color="000000"/>
              <w:bottom w:val="single" w:sz="4" w:space="0" w:color="000000"/>
            </w:tcBorders>
            <w:shd w:val="clear" w:color="auto" w:fill="auto"/>
          </w:tcPr>
          <w:p w:rsidR="00B44750" w:rsidRDefault="004F7FD1">
            <w:pPr>
              <w:rPr>
                <w:b/>
              </w:rPr>
            </w:pPr>
            <w:r>
              <w:rPr>
                <w:b/>
              </w:rPr>
              <w:t xml:space="preserve">   </w:t>
            </w:r>
            <w:r>
              <w:rPr>
                <w:shd w:val="clear" w:color="auto" w:fill="FFFF00"/>
              </w:rPr>
              <w:t>„…“</w:t>
            </w:r>
          </w:p>
          <w:p w:rsidR="00B44750" w:rsidRDefault="00B44750">
            <w:pPr>
              <w:rPr>
                <w:b/>
              </w:rPr>
            </w:pPr>
          </w:p>
        </w:tc>
        <w:tc>
          <w:tcPr>
            <w:tcW w:w="1990" w:type="dxa"/>
            <w:tcBorders>
              <w:left w:val="single" w:sz="4" w:space="0" w:color="000000"/>
              <w:bottom w:val="single" w:sz="4" w:space="0" w:color="000000"/>
              <w:right w:val="single" w:sz="4" w:space="0" w:color="000000"/>
            </w:tcBorders>
            <w:shd w:val="clear" w:color="auto" w:fill="auto"/>
          </w:tcPr>
          <w:p w:rsidR="00B44750" w:rsidRDefault="004F7FD1">
            <w:pPr>
              <w:rPr>
                <w:b/>
              </w:rPr>
            </w:pPr>
            <w:r>
              <w:t xml:space="preserve">           </w:t>
            </w:r>
            <w:r>
              <w:rPr>
                <w:shd w:val="clear" w:color="auto" w:fill="FFFF00"/>
              </w:rPr>
              <w:t>„…“</w:t>
            </w:r>
          </w:p>
          <w:p w:rsidR="00B44750" w:rsidRDefault="004F7FD1">
            <w:r>
              <w:rPr>
                <w:b/>
              </w:rPr>
              <w:t> </w:t>
            </w:r>
          </w:p>
        </w:tc>
      </w:tr>
      <w:tr w:rsidR="00B44750">
        <w:trPr>
          <w:trHeight w:hRule="exact" w:val="403"/>
        </w:trPr>
        <w:tc>
          <w:tcPr>
            <w:tcW w:w="5970" w:type="dxa"/>
            <w:tcBorders>
              <w:top w:val="single" w:sz="4" w:space="0" w:color="000000"/>
              <w:left w:val="single" w:sz="4" w:space="0" w:color="000000"/>
              <w:bottom w:val="single" w:sz="4" w:space="0" w:color="000000"/>
            </w:tcBorders>
            <w:shd w:val="clear" w:color="auto" w:fill="auto"/>
          </w:tcPr>
          <w:p w:rsidR="00B44750" w:rsidRDefault="004F7FD1">
            <w:pPr>
              <w:rPr>
                <w:b/>
              </w:rPr>
            </w:pPr>
            <w:r>
              <w:rPr>
                <w:b/>
              </w:rPr>
              <w:t xml:space="preserve">            Záruka minimálně 60 měsíců</w:t>
            </w:r>
          </w:p>
        </w:tc>
        <w:tc>
          <w:tcPr>
            <w:tcW w:w="1070" w:type="dxa"/>
            <w:tcBorders>
              <w:top w:val="single" w:sz="4" w:space="0" w:color="000000"/>
              <w:left w:val="single" w:sz="4" w:space="0" w:color="000000"/>
              <w:bottom w:val="single" w:sz="4" w:space="0" w:color="000000"/>
            </w:tcBorders>
            <w:shd w:val="clear" w:color="auto" w:fill="auto"/>
          </w:tcPr>
          <w:p w:rsidR="00B44750" w:rsidRDefault="004F7FD1">
            <w:pPr>
              <w:rPr>
                <w:b/>
              </w:rPr>
            </w:pPr>
            <w:r>
              <w:rPr>
                <w:b/>
              </w:rPr>
              <w:t xml:space="preserve">   </w:t>
            </w:r>
            <w:r>
              <w:rPr>
                <w:shd w:val="clear" w:color="auto" w:fill="FFFF00"/>
              </w:rPr>
              <w:t>„…“</w:t>
            </w:r>
          </w:p>
          <w:p w:rsidR="00B44750" w:rsidRDefault="00B44750">
            <w:pPr>
              <w:rPr>
                <w:b/>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B44750" w:rsidRDefault="004F7FD1">
            <w:pPr>
              <w:rPr>
                <w:b/>
              </w:rPr>
            </w:pPr>
            <w:r>
              <w:rPr>
                <w:b/>
              </w:rPr>
              <w:t xml:space="preserve">           </w:t>
            </w:r>
            <w:r>
              <w:rPr>
                <w:shd w:val="clear" w:color="auto" w:fill="FFFF00"/>
              </w:rPr>
              <w:t>„…“</w:t>
            </w:r>
          </w:p>
          <w:p w:rsidR="00B44750" w:rsidRDefault="00B44750">
            <w:pPr>
              <w:rPr>
                <w:b/>
              </w:rPr>
            </w:pPr>
          </w:p>
        </w:tc>
      </w:tr>
      <w:tr w:rsidR="00B44750">
        <w:trPr>
          <w:trHeight w:hRule="exact" w:val="403"/>
        </w:trPr>
        <w:tc>
          <w:tcPr>
            <w:tcW w:w="5970" w:type="dxa"/>
            <w:tcBorders>
              <w:top w:val="single" w:sz="4" w:space="0" w:color="000000"/>
              <w:left w:val="single" w:sz="4" w:space="0" w:color="000000"/>
              <w:bottom w:val="single" w:sz="4" w:space="0" w:color="000000"/>
            </w:tcBorders>
            <w:shd w:val="clear" w:color="auto" w:fill="auto"/>
          </w:tcPr>
          <w:p w:rsidR="00B44750" w:rsidRDefault="004F7FD1">
            <w:pPr>
              <w:rPr>
                <w:b/>
              </w:rPr>
            </w:pPr>
            <w:r>
              <w:rPr>
                <w:b/>
              </w:rPr>
              <w:t xml:space="preserve">            Záruční a pozáruční servis</w:t>
            </w:r>
          </w:p>
        </w:tc>
        <w:tc>
          <w:tcPr>
            <w:tcW w:w="1070" w:type="dxa"/>
            <w:tcBorders>
              <w:top w:val="single" w:sz="4" w:space="0" w:color="000000"/>
              <w:left w:val="single" w:sz="4" w:space="0" w:color="000000"/>
              <w:bottom w:val="single" w:sz="4" w:space="0" w:color="000000"/>
            </w:tcBorders>
            <w:shd w:val="clear" w:color="auto" w:fill="auto"/>
          </w:tcPr>
          <w:p w:rsidR="00B44750" w:rsidRDefault="004F7FD1">
            <w:pPr>
              <w:rPr>
                <w:b/>
              </w:rPr>
            </w:pPr>
            <w:r>
              <w:rPr>
                <w:b/>
              </w:rPr>
              <w:t xml:space="preserve">     </w:t>
            </w:r>
            <w:r>
              <w:rPr>
                <w:shd w:val="clear" w:color="auto" w:fill="FFFF00"/>
              </w:rPr>
              <w:t>„…“</w:t>
            </w:r>
          </w:p>
          <w:p w:rsidR="00B44750" w:rsidRDefault="00B44750">
            <w:pPr>
              <w:rPr>
                <w:b/>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B44750" w:rsidRDefault="004F7FD1">
            <w:pPr>
              <w:rPr>
                <w:b/>
              </w:rPr>
            </w:pPr>
            <w:r>
              <w:rPr>
                <w:b/>
              </w:rPr>
              <w:t xml:space="preserve">       </w:t>
            </w:r>
            <w:r>
              <w:rPr>
                <w:shd w:val="clear" w:color="auto" w:fill="FFFF00"/>
              </w:rPr>
              <w:t>„…“</w:t>
            </w:r>
          </w:p>
          <w:p w:rsidR="00B44750" w:rsidRDefault="00B44750">
            <w:pPr>
              <w:rPr>
                <w:b/>
              </w:rPr>
            </w:pPr>
          </w:p>
        </w:tc>
      </w:tr>
      <w:tr w:rsidR="00B44750">
        <w:trPr>
          <w:trHeight w:hRule="exact" w:val="403"/>
        </w:trPr>
        <w:tc>
          <w:tcPr>
            <w:tcW w:w="5970" w:type="dxa"/>
            <w:tcBorders>
              <w:top w:val="single" w:sz="4" w:space="0" w:color="000000"/>
              <w:left w:val="single" w:sz="4" w:space="0" w:color="000000"/>
              <w:bottom w:val="single" w:sz="4" w:space="0" w:color="000000"/>
            </w:tcBorders>
            <w:shd w:val="clear" w:color="auto" w:fill="auto"/>
          </w:tcPr>
          <w:p w:rsidR="00B44750" w:rsidRDefault="004F7FD1">
            <w:pPr>
              <w:spacing w:line="100" w:lineRule="atLeast"/>
              <w:rPr>
                <w:b/>
              </w:rPr>
            </w:pPr>
            <w:r>
              <w:rPr>
                <w:b/>
              </w:rPr>
              <w:t xml:space="preserve">            Zaškolení obsluhy</w:t>
            </w:r>
          </w:p>
        </w:tc>
        <w:tc>
          <w:tcPr>
            <w:tcW w:w="1070" w:type="dxa"/>
            <w:tcBorders>
              <w:top w:val="single" w:sz="4" w:space="0" w:color="000000"/>
              <w:left w:val="single" w:sz="4" w:space="0" w:color="000000"/>
              <w:bottom w:val="single" w:sz="4" w:space="0" w:color="000000"/>
            </w:tcBorders>
            <w:shd w:val="clear" w:color="auto" w:fill="auto"/>
          </w:tcPr>
          <w:p w:rsidR="00B44750" w:rsidRDefault="004F7FD1">
            <w:pPr>
              <w:spacing w:line="100" w:lineRule="atLeast"/>
              <w:rPr>
                <w:b/>
              </w:rPr>
            </w:pPr>
            <w:r>
              <w:rPr>
                <w:b/>
              </w:rPr>
              <w:t xml:space="preserve">    </w:t>
            </w:r>
            <w:r>
              <w:rPr>
                <w:shd w:val="clear" w:color="auto" w:fill="FFFF00"/>
              </w:rPr>
              <w:t>„…“</w:t>
            </w:r>
          </w:p>
          <w:p w:rsidR="00B44750" w:rsidRDefault="00B44750">
            <w:pPr>
              <w:spacing w:line="100" w:lineRule="atLeast"/>
              <w:rPr>
                <w:b/>
              </w:rPr>
            </w:pPr>
          </w:p>
        </w:tc>
        <w:tc>
          <w:tcPr>
            <w:tcW w:w="1990" w:type="dxa"/>
            <w:tcBorders>
              <w:top w:val="single" w:sz="4" w:space="0" w:color="000000"/>
              <w:left w:val="single" w:sz="4" w:space="0" w:color="000000"/>
              <w:bottom w:val="single" w:sz="4" w:space="0" w:color="000000"/>
              <w:right w:val="single" w:sz="4" w:space="0" w:color="000000"/>
            </w:tcBorders>
            <w:shd w:val="clear" w:color="auto" w:fill="auto"/>
          </w:tcPr>
          <w:p w:rsidR="00B44750" w:rsidRDefault="004F7FD1">
            <w:pPr>
              <w:spacing w:line="100" w:lineRule="atLeast"/>
            </w:pPr>
            <w:r>
              <w:rPr>
                <w:b/>
              </w:rPr>
              <w:t xml:space="preserve">       </w:t>
            </w:r>
            <w:r>
              <w:rPr>
                <w:shd w:val="clear" w:color="auto" w:fill="FFFF00"/>
              </w:rPr>
              <w:t>„…“</w:t>
            </w:r>
          </w:p>
        </w:tc>
      </w:tr>
    </w:tbl>
    <w:p w:rsidR="00B44750" w:rsidRDefault="00B44750">
      <w:pPr>
        <w:widowControl w:val="0"/>
        <w:spacing w:after="0" w:line="100" w:lineRule="atLeast"/>
        <w:rPr>
          <w:b/>
        </w:rPr>
      </w:pPr>
    </w:p>
    <w:p w:rsidR="00B44750" w:rsidRDefault="004F7FD1">
      <w:pPr>
        <w:numPr>
          <w:ilvl w:val="0"/>
          <w:numId w:val="6"/>
        </w:numPr>
        <w:jc w:val="both"/>
      </w:pPr>
      <w:r>
        <w:lastRenderedPageBreak/>
        <w:t xml:space="preserve">Prodávající je povinen dodat kupujícímu předmět koupě, a to úpravnu vody </w:t>
      </w:r>
      <w:r w:rsidR="002E7306">
        <w:t>do 31.5.2019</w:t>
      </w:r>
      <w:r w:rsidRPr="002E7306">
        <w:t>. V případě nedodržení termínu dodání má kupující právo účtovat prodávajícímu za každý den</w:t>
      </w:r>
      <w:r>
        <w:t xml:space="preserve"> prodlení (včetně dnů pracovního volna, pracovního klidu a svátků) pokutu 0,1 % z celkové kupní cenu bez DPH 21 %. Do termínu dodání předmětu koupě se nezapočítává doba, po kterou nebyl prodávajícímu umožněn přístup pro předání předmětu koupě nebo jeho vlastní montáž, včetně spuštění do provozu.  </w:t>
      </w:r>
    </w:p>
    <w:p w:rsidR="00B44750" w:rsidRDefault="00B44750">
      <w:pPr>
        <w:jc w:val="both"/>
      </w:pPr>
    </w:p>
    <w:p w:rsidR="00B44750" w:rsidRDefault="004F7FD1">
      <w:pPr>
        <w:numPr>
          <w:ilvl w:val="0"/>
          <w:numId w:val="6"/>
        </w:numPr>
        <w:jc w:val="both"/>
      </w:pPr>
      <w:r>
        <w:t xml:space="preserve">Smluvní strany se dohodly, že o předání předmětu koupě bude sepsán písemný předávací protokol s tím, že nezbytnou součástí předávacího protokolu je informace o uvedení předmětu koupě do řádného provozu ve stávajícím provozu kupujícího. Součástí dodávky bude dále i 1 ks návodu na obsluhu </w:t>
      </w:r>
      <w:r>
        <w:rPr>
          <w:color w:val="00000A"/>
        </w:rPr>
        <w:t>v českém jazyce</w:t>
      </w:r>
    </w:p>
    <w:p w:rsidR="00B44750" w:rsidRDefault="004F7FD1">
      <w:pPr>
        <w:numPr>
          <w:ilvl w:val="0"/>
          <w:numId w:val="6"/>
        </w:numPr>
        <w:jc w:val="both"/>
      </w:pPr>
      <w:r>
        <w:t>Podpisem dodacího listu a písemného protokolu o předání a převzetí oběma smluvními stranami dochází k převzetí a předání zboží a k přechodu vlastnictví k movité věci včetně nebezpečí škody na zboží na kupujícího.</w:t>
      </w:r>
    </w:p>
    <w:p w:rsidR="00B44750" w:rsidRDefault="00B44750">
      <w:pPr>
        <w:jc w:val="both"/>
      </w:pPr>
    </w:p>
    <w:p w:rsidR="00B44750" w:rsidRDefault="00B44750">
      <w:pPr>
        <w:jc w:val="both"/>
      </w:pPr>
    </w:p>
    <w:p w:rsidR="00B44750" w:rsidRDefault="004F7FD1">
      <w:pPr>
        <w:jc w:val="center"/>
        <w:rPr>
          <w:b/>
        </w:rPr>
      </w:pPr>
      <w:r>
        <w:rPr>
          <w:b/>
        </w:rPr>
        <w:t>Článek 4</w:t>
      </w:r>
    </w:p>
    <w:p w:rsidR="00B44750" w:rsidRDefault="004F7FD1">
      <w:pPr>
        <w:jc w:val="center"/>
      </w:pPr>
      <w:r>
        <w:rPr>
          <w:b/>
        </w:rPr>
        <w:t>Kupní cena</w:t>
      </w:r>
    </w:p>
    <w:p w:rsidR="00B44750" w:rsidRDefault="004F7FD1">
      <w:pPr>
        <w:numPr>
          <w:ilvl w:val="0"/>
          <w:numId w:val="3"/>
        </w:numPr>
        <w:jc w:val="both"/>
      </w:pPr>
      <w:r>
        <w:t xml:space="preserve">Smluvní strany se dohodly na celkové kupní ceně ve výši </w:t>
      </w:r>
      <w:r>
        <w:rPr>
          <w:shd w:val="clear" w:color="auto" w:fill="FFFF00"/>
        </w:rPr>
        <w:t>„…“</w:t>
      </w:r>
      <w:r>
        <w:t xml:space="preserve">, bez DPH. Kupní cena s DPH ve výši </w:t>
      </w:r>
      <w:proofErr w:type="gramStart"/>
      <w:r>
        <w:t>21%</w:t>
      </w:r>
      <w:proofErr w:type="gramEnd"/>
      <w:r>
        <w:t xml:space="preserve"> činí</w:t>
      </w:r>
      <w:r>
        <w:rPr>
          <w:shd w:val="clear" w:color="auto" w:fill="FFFF00"/>
        </w:rPr>
        <w:t xml:space="preserve"> „...“</w:t>
      </w:r>
      <w:r>
        <w:t xml:space="preserve">. Součástí kupní ceny je rovněž montáž předmětu koupě a zaškolení obsluhy. </w:t>
      </w:r>
    </w:p>
    <w:p w:rsidR="00B44750" w:rsidRDefault="004F7FD1">
      <w:pPr>
        <w:numPr>
          <w:ilvl w:val="0"/>
          <w:numId w:val="3"/>
        </w:numPr>
        <w:jc w:val="both"/>
      </w:pPr>
      <w:r>
        <w:t xml:space="preserve">Smluvní strany se dohodly na úhradě kupní ceny převodem na bankovní účet na základě vystavené faktury. Lhůta splatnosti faktury je stanovena na 30 kalendářních dnů. Datem úhrady se rozumí datum odepsání částky k úhradě z bankovního účtu prodávajícího ve prospěch bankovního účtu kupujícího. Kupující neposkytuje zálohy. </w:t>
      </w:r>
    </w:p>
    <w:p w:rsidR="00B44750" w:rsidRDefault="004F7FD1">
      <w:pPr>
        <w:numPr>
          <w:ilvl w:val="0"/>
          <w:numId w:val="3"/>
        </w:numPr>
        <w:jc w:val="both"/>
      </w:pPr>
      <w:r>
        <w:t xml:space="preserve">Faktura/Daňový doklad musí obsahovat veškeré náležitosti stanovené zákonem č. 563/1991 Sb., o účetnictví, a zákonem č. 235/2004 Sb., o dani z přidané hodnoty, v platném znění. </w:t>
      </w:r>
    </w:p>
    <w:p w:rsidR="00B44750" w:rsidRDefault="004F7FD1">
      <w:pPr>
        <w:numPr>
          <w:ilvl w:val="0"/>
          <w:numId w:val="3"/>
        </w:numPr>
        <w:jc w:val="both"/>
      </w:pPr>
      <w:r>
        <w:t>Dnem zdanitelného plnění se rozumí den uvedení do provozu potvrzený dodacím listem nebo montážním listem.</w:t>
      </w:r>
    </w:p>
    <w:p w:rsidR="00B44750" w:rsidRDefault="004F7FD1">
      <w:pPr>
        <w:numPr>
          <w:ilvl w:val="0"/>
          <w:numId w:val="3"/>
        </w:numPr>
        <w:jc w:val="both"/>
      </w:pPr>
      <w:r>
        <w:t xml:space="preserve">Prodávající si vyhrazuje právo účtovat smluvní penále 0,1 % </w:t>
      </w:r>
      <w:proofErr w:type="gramStart"/>
      <w:r>
        <w:t>z  dlužné</w:t>
      </w:r>
      <w:proofErr w:type="gramEnd"/>
      <w:r>
        <w:t xml:space="preserve"> částky za každý den prodlení (včetně dnů pracovního volna, pracovního klidu a svátků) pro případ prodlení s úhradou kupní ceny. </w:t>
      </w:r>
    </w:p>
    <w:p w:rsidR="00B44750" w:rsidRDefault="00B44750">
      <w:pPr>
        <w:pStyle w:val="Odstavecseseznamem"/>
      </w:pPr>
    </w:p>
    <w:p w:rsidR="00B44750" w:rsidRDefault="00B44750">
      <w:pPr>
        <w:pStyle w:val="Odstavecseseznamem"/>
        <w:pageBreakBefore/>
      </w:pPr>
    </w:p>
    <w:p w:rsidR="00B44750" w:rsidRDefault="004F7FD1">
      <w:pPr>
        <w:ind w:left="720"/>
        <w:jc w:val="center"/>
        <w:rPr>
          <w:b/>
          <w:bCs/>
        </w:rPr>
      </w:pPr>
      <w:r>
        <w:rPr>
          <w:b/>
        </w:rPr>
        <w:t>Článek 5</w:t>
      </w:r>
    </w:p>
    <w:p w:rsidR="00B44750" w:rsidRDefault="004F7FD1">
      <w:pPr>
        <w:ind w:left="720"/>
        <w:jc w:val="center"/>
      </w:pPr>
      <w:r>
        <w:rPr>
          <w:b/>
          <w:bCs/>
        </w:rPr>
        <w:t>Odpovědnost za vady, záruka</w:t>
      </w:r>
    </w:p>
    <w:p w:rsidR="00B44750" w:rsidRDefault="004F7FD1">
      <w:pPr>
        <w:numPr>
          <w:ilvl w:val="0"/>
          <w:numId w:val="5"/>
        </w:numPr>
        <w:ind w:left="357" w:hanging="357"/>
        <w:jc w:val="both"/>
      </w:pPr>
      <w:r>
        <w:t xml:space="preserve">V případě, že budou kupujícím po převzetí předmětu koupě zjištěny vady, má kupující právo uplatnit vůči prodávajícímu nároky v souladu s </w:t>
      </w:r>
      <w:proofErr w:type="spellStart"/>
      <w:r>
        <w:t>ust</w:t>
      </w:r>
      <w:proofErr w:type="spellEnd"/>
      <w:r>
        <w:t xml:space="preserve">. § 2099 až 2117 občanského zákoníku.  </w:t>
      </w:r>
    </w:p>
    <w:p w:rsidR="00B44750" w:rsidRDefault="004F7FD1">
      <w:pPr>
        <w:numPr>
          <w:ilvl w:val="0"/>
          <w:numId w:val="5"/>
        </w:numPr>
        <w:ind w:left="357" w:hanging="357"/>
        <w:jc w:val="both"/>
      </w:pPr>
      <w:r>
        <w:t xml:space="preserve">Smluvní strany sjednávají záruku v délce </w:t>
      </w:r>
      <w:r w:rsidR="002E7306">
        <w:rPr>
          <w:shd w:val="clear" w:color="auto" w:fill="FFFF00"/>
        </w:rPr>
        <w:t>60</w:t>
      </w:r>
      <w:r>
        <w:t xml:space="preserve"> měsíců. </w:t>
      </w:r>
    </w:p>
    <w:p w:rsidR="00B44750" w:rsidRDefault="004F7FD1">
      <w:pPr>
        <w:numPr>
          <w:ilvl w:val="0"/>
          <w:numId w:val="5"/>
        </w:numPr>
        <w:ind w:left="357" w:hanging="357"/>
        <w:jc w:val="both"/>
      </w:pPr>
      <w:r>
        <w:t>Běh záruční lhůty začíná běžet okamžikem převzetí zboží kupujícím. Záruční doba neběží po dobu, po kterou kupující nemůže užívat zboží pro jeho vady, za které ručí prodávající. Lhůta pro vyřízení reklamace činí 30 dnů po doručení reklamačního protokolu prodávajícímu.</w:t>
      </w:r>
    </w:p>
    <w:p w:rsidR="00B44750" w:rsidRDefault="00B44750">
      <w:pPr>
        <w:ind w:left="720"/>
      </w:pPr>
    </w:p>
    <w:p w:rsidR="00B44750" w:rsidRDefault="00B44750">
      <w:pPr>
        <w:jc w:val="center"/>
        <w:rPr>
          <w:b/>
        </w:rPr>
      </w:pPr>
    </w:p>
    <w:p w:rsidR="00B44750" w:rsidRDefault="004F7FD1">
      <w:pPr>
        <w:jc w:val="center"/>
        <w:rPr>
          <w:b/>
        </w:rPr>
      </w:pPr>
      <w:r>
        <w:rPr>
          <w:b/>
        </w:rPr>
        <w:t>Článek 6</w:t>
      </w:r>
    </w:p>
    <w:p w:rsidR="00B44750" w:rsidRDefault="004F7FD1">
      <w:pPr>
        <w:jc w:val="center"/>
      </w:pPr>
      <w:r>
        <w:rPr>
          <w:b/>
        </w:rPr>
        <w:t>Závěrečná ustanovení</w:t>
      </w:r>
    </w:p>
    <w:p w:rsidR="00B44750" w:rsidRDefault="004F7FD1">
      <w:pPr>
        <w:numPr>
          <w:ilvl w:val="0"/>
          <w:numId w:val="5"/>
        </w:numPr>
        <w:ind w:left="357" w:hanging="357"/>
        <w:jc w:val="both"/>
      </w:pPr>
      <w:r>
        <w:t xml:space="preserve">Smluvní strany mohou ukončit tuto smlouvou písemnou dohodou nebo odstoupením od smlouvy ze zákonných důvodů.  </w:t>
      </w:r>
    </w:p>
    <w:p w:rsidR="00B44750" w:rsidRDefault="004F7FD1">
      <w:pPr>
        <w:numPr>
          <w:ilvl w:val="0"/>
          <w:numId w:val="5"/>
        </w:numPr>
        <w:ind w:left="357" w:hanging="357"/>
        <w:jc w:val="both"/>
      </w:pPr>
      <w:r>
        <w:t xml:space="preserve">Smluvní strany prohlašují, že předmět plnění podle této smlouvy není plněním nemožným a že smlouvu uzavírají po pečlivém zvážení všech možných důsledků. </w:t>
      </w:r>
    </w:p>
    <w:p w:rsidR="00B44750" w:rsidRDefault="004F7FD1">
      <w:pPr>
        <w:numPr>
          <w:ilvl w:val="0"/>
          <w:numId w:val="5"/>
        </w:numPr>
        <w:ind w:left="357" w:hanging="357"/>
        <w:jc w:val="both"/>
      </w:pPr>
      <w:r>
        <w:t>Změnit nebo doplnit tuto smlouvu mohou smluvní strany pouze formou písemných dodatků, které budou vzestupně číslovány, výslovně prohlášeny za dodatek této smlouvy a podepsány oprávněnými zástupci smluvních stran.</w:t>
      </w:r>
    </w:p>
    <w:p w:rsidR="00B44750" w:rsidRDefault="004F7FD1">
      <w:pPr>
        <w:numPr>
          <w:ilvl w:val="0"/>
          <w:numId w:val="5"/>
        </w:numPr>
        <w:ind w:left="357" w:hanging="357"/>
        <w:jc w:val="both"/>
      </w:pPr>
      <w:r>
        <w:t xml:space="preserve">Tato smlouva nabývá platnosti dnem jejího podpisu oběma smluvními stranami. Účinnosti tato smlouva nabývá okamžikem zveřejnění smlouvy v registru smluv. </w:t>
      </w:r>
    </w:p>
    <w:p w:rsidR="00B44750" w:rsidRDefault="004F7FD1">
      <w:pPr>
        <w:numPr>
          <w:ilvl w:val="0"/>
          <w:numId w:val="5"/>
        </w:numPr>
        <w:ind w:left="357" w:hanging="357"/>
        <w:jc w:val="both"/>
      </w:pPr>
      <w:r>
        <w:t>Tato smlouva se řídí právními předpisy České republiky a je vykládána v souladu s nimi.</w:t>
      </w:r>
    </w:p>
    <w:p w:rsidR="00B44750" w:rsidRDefault="004F7FD1">
      <w:pPr>
        <w:numPr>
          <w:ilvl w:val="0"/>
          <w:numId w:val="5"/>
        </w:numPr>
        <w:ind w:left="357" w:hanging="357"/>
        <w:jc w:val="both"/>
      </w:pPr>
      <w:r>
        <w:t>Smluvní strany se dohodly, že všechny spory vyplývající z této Smlouvy nebo spory o existenci této Smlouvy (včetně otázky vzniku a platnosti této Smlouvy) budou rozhodovány s konečnou platností před věcně a místně příslušným soudem České republiky, případně před příslušným soudním orgánem jiného státu, pakliže bude takový soudní orgán k rozhodnutí sporu příslušný.</w:t>
      </w:r>
    </w:p>
    <w:p w:rsidR="00B44750" w:rsidRDefault="004F7FD1">
      <w:pPr>
        <w:numPr>
          <w:ilvl w:val="0"/>
          <w:numId w:val="5"/>
        </w:numPr>
        <w:ind w:left="357" w:hanging="357"/>
        <w:jc w:val="both"/>
      </w:pPr>
      <w:r>
        <w:t xml:space="preserve">Tato smlouva je vyhotovena ve třech Stejnopisech s platností originálu, přičemž kupující obdrží dva a prodávající jeden. </w:t>
      </w:r>
    </w:p>
    <w:p w:rsidR="00B44750" w:rsidRDefault="004F7FD1">
      <w:pPr>
        <w:numPr>
          <w:ilvl w:val="0"/>
          <w:numId w:val="5"/>
        </w:numPr>
        <w:ind w:left="357" w:hanging="357"/>
        <w:jc w:val="both"/>
      </w:pPr>
      <w:r>
        <w:t xml:space="preserve">Prodávající bere na vědomí, že kupující má povinnost podle zákona č. 340/2015 Sb., o zvláštních podmínkách účinnosti některých smluv, uveřejňování těchto smluv a o registru smluv (zákon o registru smluv) zveřejnit plný text této smlouvy včetně jejích změn a dodatků na svém profilu zadavatele a uveřejnit smlouvu v registru smluv. Smluvní strany výslovně sjednávají, že uveřejnění této smlouvy v registru smluv dle zákona o registru smluv zajistí kupující. Prodávající je seznámen </w:t>
      </w:r>
      <w:r>
        <w:lastRenderedPageBreak/>
        <w:t>se skutečností, že poskytnutí těchto informací se dle citovaných zákonů nepovažuje za porušení obchodního tajemství a s jejich zveřejněním tímto vyslovuje svůj souhlas.</w:t>
      </w:r>
    </w:p>
    <w:p w:rsidR="00B44750" w:rsidRDefault="004F7FD1">
      <w:pPr>
        <w:numPr>
          <w:ilvl w:val="0"/>
          <w:numId w:val="5"/>
        </w:numPr>
        <w:ind w:left="357" w:hanging="357"/>
        <w:jc w:val="both"/>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B44750" w:rsidRDefault="00B44750">
      <w:pPr>
        <w:ind w:left="357" w:hanging="357"/>
        <w:jc w:val="both"/>
      </w:pPr>
    </w:p>
    <w:p w:rsidR="00B44750" w:rsidRDefault="004F7FD1">
      <w:r>
        <w:tab/>
        <w:t>V ........................</w:t>
      </w:r>
      <w:r>
        <w:tab/>
      </w:r>
      <w:r>
        <w:tab/>
      </w:r>
      <w:r>
        <w:tab/>
      </w:r>
      <w:r>
        <w:tab/>
      </w:r>
      <w:r>
        <w:tab/>
      </w:r>
      <w:r>
        <w:tab/>
        <w:t>V...........................</w:t>
      </w:r>
    </w:p>
    <w:p w:rsidR="00B44750" w:rsidRDefault="00B44750"/>
    <w:p w:rsidR="00B44750" w:rsidRDefault="004F7FD1">
      <w:r>
        <w:tab/>
        <w:t>…………………</w:t>
      </w:r>
      <w:r>
        <w:tab/>
      </w:r>
      <w:r>
        <w:tab/>
      </w:r>
      <w:r>
        <w:tab/>
        <w:t xml:space="preserve">      </w:t>
      </w:r>
      <w:r>
        <w:tab/>
        <w:t xml:space="preserve">             ……………………</w:t>
      </w:r>
    </w:p>
    <w:p w:rsidR="00B44750" w:rsidRDefault="004F7FD1">
      <w:r>
        <w:tab/>
        <w:t xml:space="preserve">     prodávající</w:t>
      </w:r>
      <w:r>
        <w:tab/>
      </w:r>
      <w:r>
        <w:tab/>
      </w:r>
      <w:r>
        <w:tab/>
      </w:r>
      <w:r>
        <w:tab/>
        <w:t xml:space="preserve">                                     kupující</w:t>
      </w:r>
    </w:p>
    <w:p w:rsidR="00B44750" w:rsidRDefault="00B44750"/>
    <w:sectPr w:rsidR="00B44750">
      <w:headerReference w:type="even" r:id="rId7"/>
      <w:headerReference w:type="default" r:id="rId8"/>
      <w:footerReference w:type="even" r:id="rId9"/>
      <w:footerReference w:type="default" r:id="rId10"/>
      <w:headerReference w:type="first" r:id="rId11"/>
      <w:footerReference w:type="first" r:id="rId12"/>
      <w:pgSz w:w="12240" w:h="15840"/>
      <w:pgMar w:top="1417" w:right="1080" w:bottom="1417" w:left="1080"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67A0" w:rsidRDefault="00DC67A0" w:rsidP="00DC67A0">
      <w:pPr>
        <w:spacing w:after="0" w:line="240" w:lineRule="auto"/>
      </w:pPr>
      <w:r>
        <w:separator/>
      </w:r>
    </w:p>
  </w:endnote>
  <w:endnote w:type="continuationSeparator" w:id="0">
    <w:p w:rsidR="00DC67A0" w:rsidRDefault="00DC67A0" w:rsidP="00DC6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20002A87" w:usb1="00000000" w:usb2="00000000" w:usb3="00000000" w:csb0="000001FF" w:csb1="00000000"/>
  </w:font>
  <w:font w:name="Segoe UI">
    <w:panose1 w:val="020B0502040204020203"/>
    <w:charset w:val="EE"/>
    <w:family w:val="swiss"/>
    <w:pitch w:val="variable"/>
    <w:sig w:usb0="20002A87" w:usb1="00000000" w:usb2="00000000"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Liberation Serif">
    <w:altName w:val="Times New Roman"/>
    <w:charset w:val="EE"/>
    <w:family w:val="roman"/>
    <w:pitch w:val="variable"/>
  </w:font>
  <w:font w:name="NSimSun">
    <w:panose1 w:val="02010609030101010101"/>
    <w:charset w:val="86"/>
    <w:family w:val="modern"/>
    <w:pitch w:val="fixed"/>
    <w:sig w:usb0="00000283" w:usb1="288F0000" w:usb2="00000016" w:usb3="00000000" w:csb0="00040001"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D1" w:rsidRDefault="004F7FD1">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7A0" w:rsidRDefault="00DC67A0" w:rsidP="00DC67A0">
    <w:pPr>
      <w:pStyle w:val="Zpat"/>
      <w:jc w:val="right"/>
    </w:pPr>
    <w:r>
      <w:fldChar w:fldCharType="begin"/>
    </w:r>
    <w:r>
      <w:instrText>PAGE   \* MERGEFORMAT</w:instrText>
    </w:r>
    <w:r>
      <w:fldChar w:fldCharType="separate"/>
    </w:r>
    <w:r>
      <w:rPr>
        <w:lang w:val="cs-CZ"/>
      </w:rPr>
      <w:t>2</w:t>
    </w:r>
    <w:r>
      <w:fldChar w:fldCharType="end"/>
    </w:r>
    <w:r>
      <w:t xml:space="preserve"> / </w:t>
    </w:r>
    <w:fldSimple w:instr=" NUMPAGES   \* MERGEFORMAT ">
      <w:r>
        <w:rPr>
          <w:noProof/>
        </w:rPr>
        <w:t>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D1" w:rsidRDefault="004F7F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67A0" w:rsidRDefault="00DC67A0" w:rsidP="00DC67A0">
      <w:pPr>
        <w:spacing w:after="0" w:line="240" w:lineRule="auto"/>
      </w:pPr>
      <w:r>
        <w:separator/>
      </w:r>
    </w:p>
  </w:footnote>
  <w:footnote w:type="continuationSeparator" w:id="0">
    <w:p w:rsidR="00DC67A0" w:rsidRDefault="00DC67A0" w:rsidP="00DC67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D1" w:rsidRDefault="004F7FD1">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7A0" w:rsidRPr="00DC67A0" w:rsidRDefault="00DC67A0" w:rsidP="00DC67A0">
    <w:pPr>
      <w:pStyle w:val="Zhlav"/>
      <w:jc w:val="right"/>
      <w:rPr>
        <w:i/>
        <w:sz w:val="20"/>
        <w:lang w:val="cs-CZ"/>
      </w:rPr>
    </w:pPr>
    <w:r w:rsidRPr="00DC67A0">
      <w:rPr>
        <w:i/>
        <w:sz w:val="20"/>
        <w:lang w:val="cs-CZ"/>
      </w:rPr>
      <w:t xml:space="preserve">Příloha č. </w:t>
    </w:r>
    <w:r w:rsidR="004F7FD1">
      <w:rPr>
        <w:i/>
        <w:sz w:val="20"/>
        <w:lang w:val="cs-CZ"/>
      </w:rPr>
      <w:t>2</w:t>
    </w:r>
    <w:r w:rsidRPr="00DC67A0">
      <w:rPr>
        <w:i/>
        <w:sz w:val="20"/>
        <w:lang w:val="cs-CZ"/>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F7FD1" w:rsidRDefault="004F7FD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hint="default"/>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hint="default"/>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1440" w:hanging="360"/>
      </w:pPr>
    </w:lvl>
  </w:abstractNum>
  <w:abstractNum w:abstractNumId="5" w15:restartNumberingAfterBreak="0">
    <w:nsid w:val="00000006"/>
    <w:multiLevelType w:val="singleLevel"/>
    <w:tmpl w:val="00000006"/>
    <w:name w:val="WW8Num8"/>
    <w:lvl w:ilvl="0">
      <w:start w:val="1"/>
      <w:numFmt w:val="decimal"/>
      <w:lvlText w:val="%1."/>
      <w:lvlJc w:val="left"/>
      <w:pPr>
        <w:tabs>
          <w:tab w:val="num" w:pos="0"/>
        </w:tabs>
        <w:ind w:left="720" w:hanging="360"/>
      </w:pPr>
    </w:lvl>
  </w:abstractNum>
  <w:abstractNum w:abstractNumId="6" w15:restartNumberingAfterBreak="0">
    <w:nsid w:val="00000007"/>
    <w:multiLevelType w:val="multilevel"/>
    <w:tmpl w:val="00000007"/>
    <w:name w:val="WWNum4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C67A0"/>
    <w:rsid w:val="002E7306"/>
    <w:rsid w:val="00437E26"/>
    <w:rsid w:val="004F7FD1"/>
    <w:rsid w:val="00B44750"/>
    <w:rsid w:val="00DC67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4F68EA"/>
  <w15:chartTrackingRefBased/>
  <w15:docId w15:val="{9A50E7B9-0639-4E3C-87C1-0576F5B50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after="160" w:line="259" w:lineRule="auto"/>
    </w:pPr>
    <w:rPr>
      <w:kern w:val="1"/>
      <w:sz w:val="24"/>
      <w:szCs w:val="24"/>
      <w:lang w:eastAsia="ar-SA"/>
    </w:rPr>
  </w:style>
  <w:style w:type="paragraph" w:styleId="Nadpis1">
    <w:name w:val="heading 1"/>
    <w:basedOn w:val="Normln"/>
    <w:next w:val="Normln"/>
    <w:qFormat/>
    <w:pPr>
      <w:keepNext/>
      <w:numPr>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left="284" w:right="1418" w:firstLine="0"/>
      <w:jc w:val="both"/>
      <w:outlineLvl w:val="0"/>
    </w:pPr>
    <w:rPr>
      <w:b/>
      <w:bCs/>
      <w:sz w:val="20"/>
    </w:rPr>
  </w:style>
  <w:style w:type="paragraph" w:styleId="Nadpis5">
    <w:name w:val="heading 5"/>
    <w:basedOn w:val="Normln"/>
    <w:next w:val="Zkladntext"/>
    <w:qFormat/>
    <w:pPr>
      <w:keepNext/>
      <w:keepLines/>
      <w:tabs>
        <w:tab w:val="num" w:pos="432"/>
      </w:tabs>
      <w:spacing w:before="40" w:after="0"/>
      <w:ind w:left="432" w:hanging="432"/>
      <w:outlineLvl w:val="4"/>
    </w:pPr>
    <w:rPr>
      <w:rFonts w:ascii="Calibri Light" w:hAnsi="Calibri Light"/>
      <w:color w:val="2E74B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hint="default"/>
    </w:rPr>
  </w:style>
  <w:style w:type="character" w:customStyle="1" w:styleId="WW8Num10z0">
    <w:name w:val="WW8Num10z0"/>
    <w:rPr>
      <w:rFonts w:hint="default"/>
    </w:rPr>
  </w:style>
  <w:style w:type="character" w:customStyle="1" w:styleId="WW8Num11z0">
    <w:name w:val="WW8Num11z0"/>
    <w:rPr>
      <w:rFonts w:hint="default"/>
    </w:rPr>
  </w:style>
  <w:style w:type="character" w:customStyle="1" w:styleId="WW8NumSt2z0">
    <w:name w:val="WW8NumSt2z0"/>
    <w:rPr>
      <w:rFonts w:hint="default"/>
    </w:rPr>
  </w:style>
  <w:style w:type="character" w:customStyle="1" w:styleId="WW8NumSt3z0">
    <w:name w:val="WW8NumSt3z0"/>
    <w:rPr>
      <w:rFonts w:hint="default"/>
    </w:rPr>
  </w:style>
  <w:style w:type="character" w:customStyle="1" w:styleId="Standardnpsmoodstavce1">
    <w:name w:val="Standardní písmo odstavce1"/>
  </w:style>
  <w:style w:type="character" w:customStyle="1" w:styleId="platne1">
    <w:name w:val="platne1"/>
    <w:basedOn w:val="Standardnpsmoodstavce1"/>
  </w:style>
  <w:style w:type="character" w:styleId="Siln">
    <w:name w:val="Strong"/>
    <w:qFormat/>
    <w:rPr>
      <w:b/>
      <w:bCs/>
    </w:rPr>
  </w:style>
  <w:style w:type="character" w:styleId="Zdraznn">
    <w:name w:val="Emphasis"/>
    <w:qFormat/>
    <w:rPr>
      <w:i/>
      <w:iCs/>
    </w:rPr>
  </w:style>
  <w:style w:type="character" w:customStyle="1" w:styleId="bold">
    <w:name w:val="bold"/>
    <w:basedOn w:val="Standardnpsmoodstavce1"/>
  </w:style>
  <w:style w:type="character" w:customStyle="1" w:styleId="TextbublinyChar">
    <w:name w:val="Text bubliny Char"/>
    <w:rPr>
      <w:rFonts w:ascii="Segoe UI" w:hAnsi="Segoe UI" w:cs="Segoe UI"/>
      <w:sz w:val="18"/>
      <w:szCs w:val="18"/>
    </w:rPr>
  </w:style>
  <w:style w:type="character" w:customStyle="1" w:styleId="Odkaznakoment1">
    <w:name w:val="Odkaz na komentář1"/>
    <w:rPr>
      <w:sz w:val="16"/>
      <w:szCs w:val="16"/>
    </w:rPr>
  </w:style>
  <w:style w:type="character" w:customStyle="1" w:styleId="TextkomenteChar">
    <w:name w:val="Text komentáře Char"/>
    <w:rPr>
      <w:rFonts w:ascii="Arial" w:hAnsi="Arial" w:cs="Arial"/>
    </w:rPr>
  </w:style>
  <w:style w:type="character" w:customStyle="1" w:styleId="PedmtkomenteChar">
    <w:name w:val="Předmět komentáře Char"/>
    <w:rPr>
      <w:rFonts w:ascii="Arial" w:hAnsi="Arial" w:cs="Arial"/>
      <w:b/>
      <w:bCs/>
    </w:rPr>
  </w:style>
  <w:style w:type="character" w:customStyle="1" w:styleId="ListLabel6">
    <w:name w:val="ListLabel 6"/>
  </w:style>
  <w:style w:type="character" w:customStyle="1" w:styleId="ListLabel5">
    <w:name w:val="ListLabel 5"/>
    <w:rPr>
      <w:rFonts w:cs="Times New Roman"/>
    </w:rPr>
  </w:style>
  <w:style w:type="character" w:customStyle="1" w:styleId="ListLabel4">
    <w:name w:val="ListLabel 4"/>
    <w:rPr>
      <w:b w:val="0"/>
    </w:rPr>
  </w:style>
  <w:style w:type="character" w:customStyle="1" w:styleId="ListLabel3">
    <w:name w:val="ListLabel 3"/>
    <w:rPr>
      <w:rFonts w:cs="Courier New"/>
    </w:rPr>
  </w:style>
  <w:style w:type="character" w:customStyle="1" w:styleId="ListLabel2">
    <w:name w:val="ListLabel 2"/>
    <w:rPr>
      <w:rFonts w:eastAsia="Times New Roman" w:cs="Arial"/>
    </w:rPr>
  </w:style>
  <w:style w:type="character" w:customStyle="1" w:styleId="ListLabel1">
    <w:name w:val="ListLabel 1"/>
    <w:rPr>
      <w:b/>
    </w:rPr>
  </w:style>
  <w:style w:type="character" w:customStyle="1" w:styleId="Odkaznakoment2">
    <w:name w:val="Odkaz na komentář2"/>
    <w:rPr>
      <w:sz w:val="16"/>
      <w:szCs w:val="16"/>
    </w:rPr>
  </w:style>
  <w:style w:type="character" w:styleId="Hypertextovodkaz">
    <w:name w:val="Hyperlink"/>
    <w:rPr>
      <w:color w:val="0563C1"/>
      <w:u w:val="single"/>
    </w:rPr>
  </w:style>
  <w:style w:type="character" w:customStyle="1" w:styleId="Nadpis5Char">
    <w:name w:val="Nadpis 5 Char"/>
    <w:rPr>
      <w:rFonts w:ascii="Calibri Light" w:hAnsi="Calibri Light"/>
      <w:color w:val="2E74B5"/>
    </w:rPr>
  </w:style>
  <w:style w:type="character" w:customStyle="1" w:styleId="Znakapoznpodarou1">
    <w:name w:val="Značka pozn. pod čarou1"/>
    <w:rPr>
      <w:vertAlign w:val="superscript"/>
    </w:rPr>
  </w:style>
  <w:style w:type="character" w:customStyle="1" w:styleId="TextpoznpodarouChar">
    <w:name w:val="Text pozn. pod čarou Char"/>
    <w:rPr>
      <w:rFonts w:ascii="Times New Roman" w:eastAsia="Times New Roman" w:hAnsi="Times New Roman" w:cs="Times New Roman"/>
      <w:sz w:val="20"/>
      <w:szCs w:val="20"/>
    </w:rPr>
  </w:style>
  <w:style w:type="character" w:customStyle="1" w:styleId="slostrnky1">
    <w:name w:val="Číslo stránky1"/>
    <w:basedOn w:val="Standardnpsmoodstavce2"/>
  </w:style>
  <w:style w:type="character" w:customStyle="1" w:styleId="ZpatChar">
    <w:name w:val="Zápatí Char"/>
    <w:uiPriority w:val="99"/>
    <w:rPr>
      <w:rFonts w:ascii="Times New Roman" w:eastAsia="Times New Roman" w:hAnsi="Times New Roman" w:cs="Times New Roman"/>
      <w:sz w:val="24"/>
      <w:szCs w:val="24"/>
      <w:lang w:val="en-US"/>
    </w:rPr>
  </w:style>
  <w:style w:type="character" w:customStyle="1" w:styleId="ZhlavChar">
    <w:name w:val="Záhlaví Char"/>
    <w:rPr>
      <w:rFonts w:ascii="Times New Roman" w:eastAsia="Times New Roman" w:hAnsi="Times New Roman" w:cs="Times New Roman"/>
      <w:sz w:val="24"/>
      <w:szCs w:val="24"/>
      <w:lang w:val="en-US"/>
    </w:rPr>
  </w:style>
  <w:style w:type="character" w:customStyle="1" w:styleId="ProsttextChar">
    <w:name w:val="Prostý text Char"/>
    <w:rPr>
      <w:rFonts w:ascii="Consolas" w:hAnsi="Consolas" w:cs="Consolas"/>
      <w:sz w:val="21"/>
      <w:szCs w:val="21"/>
    </w:rPr>
  </w:style>
  <w:style w:type="character" w:customStyle="1" w:styleId="Standardnpsmoodstavce2">
    <w:name w:val="Standardní písmo odstavce2"/>
  </w:style>
  <w:style w:type="paragraph" w:customStyle="1" w:styleId="Nadpis">
    <w:name w:val="Nadpis"/>
    <w:basedOn w:val="Normln"/>
    <w:next w:val="Zkladntext"/>
    <w:pPr>
      <w:keepNext/>
      <w:spacing w:before="240" w:after="120"/>
    </w:pPr>
    <w:rPr>
      <w:rFonts w:ascii="Arial" w:eastAsia="Microsoft YaHei" w:hAnsi="Arial" w:cs="Lucida Sans"/>
      <w:sz w:val="28"/>
      <w:szCs w:val="28"/>
    </w:rPr>
  </w:style>
  <w:style w:type="paragraph" w:styleId="Zkladntext">
    <w:name w:val="Body Text"/>
    <w:basedOn w:val="Norml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20" w:lineRule="exact"/>
      <w:ind w:right="1418"/>
      <w:jc w:val="both"/>
    </w:pPr>
    <w:rPr>
      <w:sz w:val="20"/>
    </w:rPr>
  </w:style>
  <w:style w:type="paragraph" w:styleId="Seznam">
    <w:name w:val="List"/>
    <w:basedOn w:val="Zkladntext"/>
    <w:rPr>
      <w:rFonts w:cs="Lucida Sans"/>
    </w:rPr>
  </w:style>
  <w:style w:type="paragraph" w:customStyle="1" w:styleId="Popisek">
    <w:name w:val="Popisek"/>
    <w:basedOn w:val="Normln"/>
    <w:pPr>
      <w:suppressLineNumbers/>
      <w:spacing w:before="120" w:after="120"/>
    </w:pPr>
    <w:rPr>
      <w:rFonts w:cs="Lucida Sans"/>
      <w:i/>
      <w:iCs/>
    </w:rPr>
  </w:style>
  <w:style w:type="paragraph" w:customStyle="1" w:styleId="Rejstk">
    <w:name w:val="Rejstřík"/>
    <w:basedOn w:val="Normln"/>
    <w:pPr>
      <w:suppressLineNumbers/>
    </w:pPr>
    <w:rPr>
      <w:rFonts w:cs="Lucida Sans"/>
    </w:rPr>
  </w:style>
  <w:style w:type="paragraph" w:customStyle="1" w:styleId="Text">
    <w:name w:val="Text"/>
    <w:basedOn w:val="Normln"/>
    <w:pPr>
      <w:overflowPunct w:val="0"/>
      <w:autoSpaceDE w:val="0"/>
      <w:spacing w:line="220" w:lineRule="exact"/>
      <w:jc w:val="both"/>
      <w:textAlignment w:val="baseline"/>
    </w:pPr>
    <w:rPr>
      <w:rFonts w:ascii="Book Antiqua" w:hAnsi="Book Antiqua" w:cs="Book Antiqua"/>
      <w:color w:val="000000"/>
      <w:sz w:val="18"/>
      <w:szCs w:val="20"/>
      <w:lang w:val="en-US"/>
    </w:rPr>
  </w:style>
  <w:style w:type="paragraph" w:customStyle="1" w:styleId="lnek">
    <w:name w:val="‰l‡nek"/>
    <w:basedOn w:val="Normln"/>
    <w:pPr>
      <w:overflowPunct w:val="0"/>
      <w:autoSpaceDE w:val="0"/>
      <w:spacing w:before="65" w:after="170" w:line="220" w:lineRule="exact"/>
      <w:jc w:val="center"/>
      <w:textAlignment w:val="baseline"/>
    </w:pPr>
    <w:rPr>
      <w:rFonts w:ascii="Book Antiqua" w:hAnsi="Book Antiqua" w:cs="Book Antiqua"/>
      <w:b/>
      <w:color w:val="000000"/>
      <w:sz w:val="20"/>
      <w:szCs w:val="20"/>
      <w:lang w:val="en-US"/>
    </w:rPr>
  </w:style>
  <w:style w:type="paragraph" w:styleId="Nzev">
    <w:name w:val="Title"/>
    <w:basedOn w:val="Normln"/>
    <w:next w:val="Podnadpis"/>
    <w:qFormat/>
    <w:pPr>
      <w:ind w:left="284" w:right="1418"/>
      <w:jc w:val="center"/>
    </w:pPr>
    <w:rPr>
      <w:b/>
    </w:rPr>
  </w:style>
  <w:style w:type="paragraph" w:styleId="Podnadpis">
    <w:name w:val="Subtitle"/>
    <w:basedOn w:val="Nadpis"/>
    <w:next w:val="Zkladntext"/>
    <w:qFormat/>
    <w:pPr>
      <w:jc w:val="center"/>
    </w:pPr>
    <w:rPr>
      <w:i/>
      <w:iCs/>
    </w:rPr>
  </w:style>
  <w:style w:type="paragraph" w:styleId="Textbubliny">
    <w:name w:val="Balloon Text"/>
    <w:basedOn w:val="Normln"/>
    <w:rPr>
      <w:rFonts w:ascii="Segoe UI" w:hAnsi="Segoe UI" w:cs="Segoe UI"/>
      <w:sz w:val="18"/>
      <w:szCs w:val="18"/>
      <w:lang w:val="x-none"/>
    </w:rPr>
  </w:style>
  <w:style w:type="paragraph" w:customStyle="1" w:styleId="Textkomente1">
    <w:name w:val="Text komentáře1"/>
    <w:basedOn w:val="Normln"/>
    <w:rPr>
      <w:rFonts w:ascii="Arial" w:hAnsi="Arial" w:cs="Arial"/>
      <w:sz w:val="20"/>
      <w:szCs w:val="20"/>
    </w:rPr>
  </w:style>
  <w:style w:type="paragraph" w:styleId="Pedmtkomente">
    <w:name w:val="annotation subject"/>
    <w:basedOn w:val="Textkomente1"/>
    <w:next w:val="Textkomente1"/>
    <w:rPr>
      <w:rFonts w:ascii="Times New Roman" w:hAnsi="Times New Roman" w:cs="Times New Roman"/>
      <w:b/>
      <w:bCs/>
    </w:rPr>
  </w:style>
  <w:style w:type="paragraph" w:styleId="Odstavecseseznamem">
    <w:name w:val="List Paragraph"/>
    <w:basedOn w:val="Normln"/>
    <w:qFormat/>
    <w:pPr>
      <w:ind w:left="708"/>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
      <w:bCs/>
    </w:rPr>
  </w:style>
  <w:style w:type="paragraph" w:customStyle="1" w:styleId="Revize1">
    <w:name w:val="Revize1"/>
    <w:pPr>
      <w:suppressAutoHyphens/>
      <w:spacing w:line="100" w:lineRule="atLeast"/>
    </w:pPr>
    <w:rPr>
      <w:rFonts w:ascii="Liberation Serif" w:eastAsia="NSimSun" w:hAnsi="Liberation Serif" w:cs="Lucida Sans"/>
      <w:kern w:val="1"/>
      <w:sz w:val="24"/>
      <w:szCs w:val="24"/>
      <w:lang w:eastAsia="hi-IN" w:bidi="hi-IN"/>
    </w:rPr>
  </w:style>
  <w:style w:type="paragraph" w:customStyle="1" w:styleId="Pedmtkomente1">
    <w:name w:val="Předmět komentáře1"/>
    <w:basedOn w:val="Textkomente2"/>
    <w:rPr>
      <w:b/>
      <w:bCs/>
    </w:rPr>
  </w:style>
  <w:style w:type="paragraph" w:customStyle="1" w:styleId="Textkomente2">
    <w:name w:val="Text komentáře2"/>
    <w:basedOn w:val="Normln"/>
    <w:pPr>
      <w:spacing w:line="100" w:lineRule="atLeast"/>
    </w:pPr>
    <w:rPr>
      <w:sz w:val="20"/>
      <w:szCs w:val="20"/>
    </w:rPr>
  </w:style>
  <w:style w:type="paragraph" w:customStyle="1" w:styleId="Textbubliny1">
    <w:name w:val="Text bubliny1"/>
    <w:basedOn w:val="Normln"/>
    <w:pPr>
      <w:spacing w:after="0" w:line="100" w:lineRule="atLeast"/>
    </w:pPr>
    <w:rPr>
      <w:rFonts w:ascii="Segoe UI" w:hAnsi="Segoe UI" w:cs="Segoe UI"/>
      <w:sz w:val="18"/>
      <w:szCs w:val="18"/>
    </w:rPr>
  </w:style>
  <w:style w:type="paragraph" w:customStyle="1" w:styleId="Odstavecseseznamem1">
    <w:name w:val="Odstavec se seznamem1"/>
    <w:basedOn w:val="Normln"/>
    <w:pPr>
      <w:ind w:left="720"/>
    </w:pPr>
  </w:style>
  <w:style w:type="paragraph" w:customStyle="1" w:styleId="Textpoznpodarou1">
    <w:name w:val="Text pozn. pod čarou1"/>
    <w:basedOn w:val="Normln"/>
    <w:pPr>
      <w:spacing w:after="0" w:line="100" w:lineRule="atLeast"/>
    </w:pPr>
    <w:rPr>
      <w:sz w:val="20"/>
      <w:szCs w:val="20"/>
    </w:rPr>
  </w:style>
  <w:style w:type="paragraph" w:styleId="Zpat">
    <w:name w:val="footer"/>
    <w:basedOn w:val="Normln"/>
    <w:uiPriority w:val="99"/>
    <w:pPr>
      <w:suppressLineNumbers/>
      <w:tabs>
        <w:tab w:val="center" w:pos="4536"/>
        <w:tab w:val="right" w:pos="9072"/>
      </w:tabs>
      <w:spacing w:after="0" w:line="100" w:lineRule="atLeast"/>
    </w:pPr>
    <w:rPr>
      <w:lang w:val="en-US"/>
    </w:rPr>
  </w:style>
  <w:style w:type="paragraph" w:styleId="Zhlav">
    <w:name w:val="header"/>
    <w:basedOn w:val="Normln"/>
    <w:pPr>
      <w:suppressLineNumbers/>
      <w:tabs>
        <w:tab w:val="center" w:pos="4536"/>
        <w:tab w:val="right" w:pos="9072"/>
      </w:tabs>
      <w:spacing w:after="0" w:line="100" w:lineRule="atLeast"/>
    </w:pPr>
    <w:rPr>
      <w:lang w:val="en-US"/>
    </w:rPr>
  </w:style>
  <w:style w:type="paragraph" w:customStyle="1" w:styleId="Prosttext1">
    <w:name w:val="Prostý text1"/>
    <w:basedOn w:val="Normln"/>
    <w:pPr>
      <w:spacing w:after="0" w:line="100" w:lineRule="atLeast"/>
    </w:pPr>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1035</Words>
  <Characters>6108</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Kupní smlouva</vt:lpstr>
    </vt:vector>
  </TitlesOfParts>
  <Company/>
  <LinksUpToDate>false</LinksUpToDate>
  <CharactersWithSpaces>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subject/>
  <dc:creator>None</dc:creator>
  <cp:keywords/>
  <cp:lastModifiedBy>Robert Pitrák</cp:lastModifiedBy>
  <cp:revision>5</cp:revision>
  <cp:lastPrinted>2014-07-22T11:52:00Z</cp:lastPrinted>
  <dcterms:created xsi:type="dcterms:W3CDTF">2019-04-24T07:14:00Z</dcterms:created>
  <dcterms:modified xsi:type="dcterms:W3CDTF">2019-04-24T07:20:00Z</dcterms:modified>
</cp:coreProperties>
</file>