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A17" w:rsidRPr="00362A17" w:rsidRDefault="00362A17" w:rsidP="00362A17">
      <w:pPr>
        <w:tabs>
          <w:tab w:val="left" w:pos="5700"/>
        </w:tabs>
        <w:spacing w:after="0" w:line="240" w:lineRule="auto"/>
        <w:jc w:val="center"/>
        <w:rPr>
          <w:rFonts w:ascii="Times New Roman" w:hAnsi="Times New Roman" w:cs="Times New Roman"/>
          <w:b/>
          <w:sz w:val="32"/>
          <w:szCs w:val="32"/>
        </w:rPr>
      </w:pPr>
      <w:r w:rsidRPr="00362A17">
        <w:rPr>
          <w:rFonts w:ascii="Times New Roman" w:hAnsi="Times New Roman" w:cs="Times New Roman"/>
          <w:b/>
          <w:sz w:val="32"/>
          <w:szCs w:val="32"/>
        </w:rPr>
        <w:t>SMLOUVA O DÍLO</w:t>
      </w:r>
    </w:p>
    <w:p w:rsidR="00362A17" w:rsidRDefault="00362A17" w:rsidP="00362A17">
      <w:pPr>
        <w:spacing w:after="0" w:line="240" w:lineRule="auto"/>
        <w:jc w:val="center"/>
        <w:rPr>
          <w:rFonts w:ascii="Times New Roman" w:hAnsi="Times New Roman" w:cs="Times New Roman"/>
          <w:i/>
        </w:rPr>
      </w:pPr>
      <w:r w:rsidRPr="00362A17">
        <w:rPr>
          <w:rFonts w:ascii="Times New Roman" w:hAnsi="Times New Roman" w:cs="Times New Roman"/>
          <w:i/>
        </w:rPr>
        <w:t xml:space="preserve">uzavřená podle ust. § </w:t>
      </w:r>
      <w:r>
        <w:rPr>
          <w:rFonts w:ascii="Times New Roman" w:hAnsi="Times New Roman" w:cs="Times New Roman"/>
          <w:i/>
        </w:rPr>
        <w:t>2586</w:t>
      </w:r>
      <w:r w:rsidRPr="00362A17">
        <w:rPr>
          <w:rFonts w:ascii="Times New Roman" w:hAnsi="Times New Roman" w:cs="Times New Roman"/>
          <w:i/>
        </w:rPr>
        <w:t xml:space="preserve"> a násl. zákona </w:t>
      </w:r>
      <w:r w:rsidRPr="00362A17">
        <w:rPr>
          <w:rFonts w:ascii="Times New Roman" w:hAnsi="Times New Roman" w:cs="Times New Roman"/>
          <w:i/>
        </w:rPr>
        <w:br/>
        <w:t>č. 89/2012 Sb., občanský zákoník, (dále jen „</w:t>
      </w:r>
      <w:r>
        <w:rPr>
          <w:rFonts w:ascii="Times New Roman" w:hAnsi="Times New Roman" w:cs="Times New Roman"/>
          <w:i/>
        </w:rPr>
        <w:t>OZ</w:t>
      </w:r>
      <w:r w:rsidRPr="00362A17">
        <w:rPr>
          <w:rFonts w:ascii="Times New Roman" w:hAnsi="Times New Roman" w:cs="Times New Roman"/>
          <w:i/>
        </w:rPr>
        <w:t xml:space="preserve">“) </w:t>
      </w:r>
    </w:p>
    <w:p w:rsidR="00362A17" w:rsidRDefault="00362A17" w:rsidP="00362A17">
      <w:pPr>
        <w:spacing w:after="0" w:line="240" w:lineRule="auto"/>
        <w:jc w:val="center"/>
        <w:rPr>
          <w:rFonts w:ascii="Times New Roman" w:hAnsi="Times New Roman" w:cs="Times New Roman"/>
          <w:i/>
        </w:rPr>
      </w:pPr>
    </w:p>
    <w:p w:rsidR="00362A17" w:rsidRPr="00362A17" w:rsidRDefault="00362A17" w:rsidP="00362A17">
      <w:pPr>
        <w:spacing w:after="0" w:line="240" w:lineRule="auto"/>
        <w:jc w:val="center"/>
        <w:rPr>
          <w:rFonts w:ascii="Times New Roman" w:hAnsi="Times New Roman" w:cs="Times New Roman"/>
        </w:rPr>
      </w:pPr>
    </w:p>
    <w:p w:rsidR="00362A17" w:rsidRDefault="00362A17" w:rsidP="00362A17">
      <w:pPr>
        <w:spacing w:after="0" w:line="240" w:lineRule="auto"/>
        <w:rPr>
          <w:rFonts w:ascii="Times New Roman" w:hAnsi="Times New Roman" w:cs="Times New Roman"/>
          <w:b/>
        </w:rPr>
      </w:pPr>
    </w:p>
    <w:p w:rsidR="00362A17" w:rsidRPr="00362A17" w:rsidRDefault="00362A17" w:rsidP="00362A17">
      <w:pPr>
        <w:spacing w:after="0" w:line="240" w:lineRule="auto"/>
        <w:rPr>
          <w:rFonts w:ascii="Times New Roman" w:hAnsi="Times New Roman" w:cs="Times New Roman"/>
          <w:b/>
          <w:sz w:val="24"/>
          <w:szCs w:val="24"/>
        </w:rPr>
      </w:pPr>
      <w:r w:rsidRPr="00362A17">
        <w:rPr>
          <w:rFonts w:ascii="Times New Roman" w:hAnsi="Times New Roman" w:cs="Times New Roman"/>
          <w:b/>
          <w:sz w:val="24"/>
          <w:szCs w:val="24"/>
        </w:rPr>
        <w:t>Domov pro seniory Dobřichovice</w:t>
      </w:r>
    </w:p>
    <w:p w:rsidR="00362A17" w:rsidRPr="00362A17" w:rsidRDefault="00362A17" w:rsidP="00362A17">
      <w:pPr>
        <w:spacing w:after="0" w:line="240" w:lineRule="auto"/>
        <w:rPr>
          <w:rFonts w:ascii="Times New Roman" w:hAnsi="Times New Roman" w:cs="Times New Roman"/>
          <w:sz w:val="24"/>
          <w:szCs w:val="24"/>
        </w:rPr>
      </w:pPr>
      <w:r w:rsidRPr="00362A17">
        <w:rPr>
          <w:rFonts w:ascii="Times New Roman" w:hAnsi="Times New Roman" w:cs="Times New Roman"/>
          <w:sz w:val="24"/>
          <w:szCs w:val="24"/>
        </w:rPr>
        <w:t>příspěvková organizace hl. města Prahy</w:t>
      </w:r>
    </w:p>
    <w:p w:rsidR="00362A17" w:rsidRPr="00362A17" w:rsidRDefault="00362A17" w:rsidP="00362A17">
      <w:pPr>
        <w:spacing w:after="0" w:line="240" w:lineRule="auto"/>
        <w:rPr>
          <w:rFonts w:ascii="Times New Roman" w:hAnsi="Times New Roman" w:cs="Times New Roman"/>
          <w:sz w:val="24"/>
          <w:szCs w:val="24"/>
        </w:rPr>
      </w:pPr>
      <w:r w:rsidRPr="00362A17">
        <w:rPr>
          <w:rFonts w:ascii="Times New Roman" w:hAnsi="Times New Roman" w:cs="Times New Roman"/>
          <w:sz w:val="24"/>
          <w:szCs w:val="24"/>
        </w:rPr>
        <w:t>Brunšov 365, 252 31 Všenory</w:t>
      </w:r>
    </w:p>
    <w:p w:rsidR="00362A17" w:rsidRPr="00362A17" w:rsidRDefault="00362A17" w:rsidP="00362A17">
      <w:pPr>
        <w:spacing w:after="0" w:line="240" w:lineRule="auto"/>
        <w:rPr>
          <w:rFonts w:ascii="Times New Roman" w:hAnsi="Times New Roman" w:cs="Times New Roman"/>
          <w:sz w:val="24"/>
          <w:szCs w:val="24"/>
        </w:rPr>
      </w:pPr>
      <w:r w:rsidRPr="00362A17">
        <w:rPr>
          <w:rFonts w:ascii="Times New Roman" w:hAnsi="Times New Roman" w:cs="Times New Roman"/>
          <w:sz w:val="24"/>
          <w:szCs w:val="24"/>
        </w:rPr>
        <w:t>IČ 708 758 80 DIČ CZ 70875880</w:t>
      </w:r>
    </w:p>
    <w:p w:rsidR="00362A17" w:rsidRPr="00362A17" w:rsidRDefault="00362A17" w:rsidP="00362A17">
      <w:pPr>
        <w:spacing w:after="0" w:line="240" w:lineRule="auto"/>
        <w:rPr>
          <w:rFonts w:ascii="Times New Roman" w:hAnsi="Times New Roman" w:cs="Times New Roman"/>
          <w:sz w:val="24"/>
          <w:szCs w:val="24"/>
        </w:rPr>
      </w:pPr>
      <w:r w:rsidRPr="00362A17">
        <w:rPr>
          <w:rFonts w:ascii="Times New Roman" w:hAnsi="Times New Roman" w:cs="Times New Roman"/>
          <w:sz w:val="24"/>
          <w:szCs w:val="24"/>
        </w:rPr>
        <w:t>zastoupený Bc. Robertem Pitrákem, ředitelem</w:t>
      </w:r>
    </w:p>
    <w:p w:rsidR="00362A17" w:rsidRPr="00362A17" w:rsidRDefault="00362A17" w:rsidP="00362A17">
      <w:pPr>
        <w:spacing w:after="0" w:line="240" w:lineRule="auto"/>
        <w:rPr>
          <w:rFonts w:ascii="Times New Roman" w:hAnsi="Times New Roman" w:cs="Times New Roman"/>
          <w:b/>
          <w:sz w:val="24"/>
          <w:szCs w:val="24"/>
        </w:rPr>
      </w:pPr>
      <w:r w:rsidRPr="00362A17">
        <w:rPr>
          <w:rFonts w:ascii="Times New Roman" w:hAnsi="Times New Roman" w:cs="Times New Roman"/>
          <w:sz w:val="24"/>
          <w:szCs w:val="24"/>
        </w:rPr>
        <w:t xml:space="preserve">tel.: 257 712 194, 257 712 135, e-mail: </w:t>
      </w:r>
      <w:hyperlink r:id="rId8" w:history="1">
        <w:r w:rsidRPr="00362A17">
          <w:rPr>
            <w:rStyle w:val="Hypertextovodkaz"/>
            <w:rFonts w:ascii="Times New Roman" w:hAnsi="Times New Roman" w:cs="Times New Roman"/>
            <w:sz w:val="24"/>
            <w:szCs w:val="24"/>
          </w:rPr>
          <w:t>robert.pitrak@domovdobrichovice.cz</w:t>
        </w:r>
      </w:hyperlink>
    </w:p>
    <w:p w:rsidR="005F2D52" w:rsidRDefault="005F2D52" w:rsidP="00362A17">
      <w:pPr>
        <w:spacing w:after="0" w:line="240" w:lineRule="auto"/>
        <w:rPr>
          <w:rFonts w:ascii="Times New Roman" w:hAnsi="Times New Roman" w:cs="Times New Roman"/>
          <w:bCs/>
          <w:sz w:val="24"/>
          <w:szCs w:val="24"/>
        </w:rPr>
      </w:pPr>
    </w:p>
    <w:p w:rsidR="00362A17" w:rsidRDefault="00362A17" w:rsidP="00362A17">
      <w:pPr>
        <w:spacing w:after="0" w:line="240" w:lineRule="auto"/>
        <w:rPr>
          <w:rFonts w:ascii="Times New Roman" w:hAnsi="Times New Roman" w:cs="Times New Roman"/>
          <w:bCs/>
          <w:sz w:val="24"/>
          <w:szCs w:val="24"/>
        </w:rPr>
      </w:pPr>
      <w:r w:rsidRPr="00362A17">
        <w:rPr>
          <w:rFonts w:ascii="Times New Roman" w:hAnsi="Times New Roman" w:cs="Times New Roman"/>
          <w:bCs/>
          <w:sz w:val="24"/>
          <w:szCs w:val="24"/>
        </w:rPr>
        <w:t xml:space="preserve">dále jen </w:t>
      </w:r>
      <w:r w:rsidR="00F16C10">
        <w:rPr>
          <w:rFonts w:ascii="Times New Roman" w:hAnsi="Times New Roman" w:cs="Times New Roman"/>
          <w:bCs/>
          <w:sz w:val="24"/>
          <w:szCs w:val="24"/>
        </w:rPr>
        <w:t xml:space="preserve">jako </w:t>
      </w:r>
      <w:r w:rsidRPr="00362A17">
        <w:rPr>
          <w:rFonts w:ascii="Times New Roman" w:hAnsi="Times New Roman" w:cs="Times New Roman"/>
          <w:bCs/>
          <w:sz w:val="24"/>
          <w:szCs w:val="24"/>
        </w:rPr>
        <w:t>„</w:t>
      </w:r>
      <w:r>
        <w:rPr>
          <w:rFonts w:ascii="Times New Roman" w:hAnsi="Times New Roman" w:cs="Times New Roman"/>
          <w:b/>
          <w:bCs/>
          <w:sz w:val="24"/>
          <w:szCs w:val="24"/>
        </w:rPr>
        <w:t>objednatel</w:t>
      </w:r>
      <w:r w:rsidRPr="00362A17">
        <w:rPr>
          <w:rFonts w:ascii="Times New Roman" w:hAnsi="Times New Roman" w:cs="Times New Roman"/>
          <w:bCs/>
          <w:sz w:val="24"/>
          <w:szCs w:val="24"/>
        </w:rPr>
        <w:t>“</w:t>
      </w:r>
    </w:p>
    <w:p w:rsidR="00362A17" w:rsidRDefault="00362A17" w:rsidP="00362A17">
      <w:pPr>
        <w:spacing w:after="0" w:line="240" w:lineRule="auto"/>
        <w:rPr>
          <w:rFonts w:ascii="Times New Roman" w:hAnsi="Times New Roman" w:cs="Times New Roman"/>
          <w:bCs/>
          <w:sz w:val="24"/>
          <w:szCs w:val="24"/>
        </w:rPr>
      </w:pPr>
    </w:p>
    <w:p w:rsidR="00362A17" w:rsidRDefault="00362A17" w:rsidP="00362A17">
      <w:pPr>
        <w:spacing w:after="0" w:line="240" w:lineRule="auto"/>
        <w:rPr>
          <w:rFonts w:ascii="Times New Roman" w:hAnsi="Times New Roman" w:cs="Times New Roman"/>
          <w:bCs/>
          <w:sz w:val="24"/>
          <w:szCs w:val="24"/>
        </w:rPr>
      </w:pPr>
    </w:p>
    <w:p w:rsidR="00362A17" w:rsidRDefault="00362A17" w:rsidP="007764A8">
      <w:pPr>
        <w:tabs>
          <w:tab w:val="left" w:pos="7785"/>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 </w:t>
      </w:r>
      <w:r w:rsidR="00480387">
        <w:rPr>
          <w:rFonts w:ascii="Times New Roman" w:hAnsi="Times New Roman" w:cs="Times New Roman"/>
          <w:bCs/>
          <w:sz w:val="24"/>
          <w:szCs w:val="24"/>
        </w:rPr>
        <w:tab/>
      </w:r>
    </w:p>
    <w:p w:rsidR="00362A17" w:rsidRPr="00D137A2" w:rsidRDefault="00F7264F" w:rsidP="00362A17">
      <w:pPr>
        <w:spacing w:after="0" w:line="240" w:lineRule="auto"/>
        <w:rPr>
          <w:rFonts w:ascii="Times New Roman" w:hAnsi="Times New Roman" w:cs="Times New Roman"/>
          <w:bCs/>
          <w:sz w:val="24"/>
          <w:szCs w:val="24"/>
        </w:rPr>
      </w:pPr>
      <w:r w:rsidRPr="00F7264F">
        <w:rPr>
          <w:rFonts w:ascii="Times New Roman" w:hAnsi="Times New Roman" w:cs="Times New Roman"/>
          <w:b/>
          <w:bCs/>
          <w:sz w:val="24"/>
          <w:szCs w:val="24"/>
          <w:highlight w:val="yellow"/>
        </w:rPr>
        <w:t>„…“</w:t>
      </w:r>
    </w:p>
    <w:p w:rsidR="00F7264F" w:rsidRPr="00D137A2" w:rsidRDefault="005F2D52" w:rsidP="00F7264F">
      <w:pPr>
        <w:spacing w:after="0" w:line="240" w:lineRule="auto"/>
        <w:rPr>
          <w:rFonts w:ascii="Times New Roman" w:hAnsi="Times New Roman" w:cs="Times New Roman"/>
          <w:bCs/>
          <w:sz w:val="24"/>
          <w:szCs w:val="24"/>
        </w:rPr>
      </w:pPr>
      <w:r w:rsidRPr="00D137A2">
        <w:rPr>
          <w:rFonts w:ascii="Times New Roman" w:hAnsi="Times New Roman" w:cs="Times New Roman"/>
          <w:bCs/>
          <w:sz w:val="24"/>
          <w:szCs w:val="24"/>
        </w:rPr>
        <w:t xml:space="preserve">se sídlem </w:t>
      </w:r>
      <w:r w:rsidR="00F7264F" w:rsidRPr="00F7264F">
        <w:rPr>
          <w:rFonts w:ascii="Times New Roman" w:hAnsi="Times New Roman" w:cs="Times New Roman"/>
          <w:b/>
          <w:bCs/>
          <w:sz w:val="24"/>
          <w:szCs w:val="24"/>
          <w:highlight w:val="yellow"/>
        </w:rPr>
        <w:t>„…“</w:t>
      </w:r>
    </w:p>
    <w:p w:rsidR="00F7264F" w:rsidRPr="00D137A2" w:rsidRDefault="00F7264F" w:rsidP="00F7264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zastoupená </w:t>
      </w:r>
      <w:r w:rsidRPr="00F7264F">
        <w:rPr>
          <w:rFonts w:ascii="Times New Roman" w:hAnsi="Times New Roman" w:cs="Times New Roman"/>
          <w:b/>
          <w:bCs/>
          <w:sz w:val="24"/>
          <w:szCs w:val="24"/>
          <w:highlight w:val="yellow"/>
        </w:rPr>
        <w:t>„…“</w:t>
      </w:r>
    </w:p>
    <w:p w:rsidR="00F7264F" w:rsidRPr="00F7264F" w:rsidRDefault="005F2D52" w:rsidP="00F7264F">
      <w:pPr>
        <w:spacing w:after="0" w:line="240" w:lineRule="auto"/>
        <w:rPr>
          <w:rFonts w:ascii="Times New Roman" w:hAnsi="Times New Roman" w:cs="Times New Roman"/>
          <w:bCs/>
          <w:sz w:val="24"/>
          <w:szCs w:val="24"/>
        </w:rPr>
      </w:pPr>
      <w:r w:rsidRPr="00F7264F">
        <w:rPr>
          <w:rFonts w:ascii="Times New Roman" w:hAnsi="Times New Roman" w:cs="Times New Roman"/>
          <w:bCs/>
          <w:sz w:val="24"/>
          <w:szCs w:val="24"/>
        </w:rPr>
        <w:t xml:space="preserve">IČ : </w:t>
      </w:r>
      <w:r w:rsidR="00F7264F" w:rsidRPr="00F7264F">
        <w:rPr>
          <w:rFonts w:ascii="Times New Roman" w:hAnsi="Times New Roman" w:cs="Times New Roman"/>
          <w:bCs/>
          <w:sz w:val="24"/>
          <w:szCs w:val="24"/>
          <w:highlight w:val="yellow"/>
        </w:rPr>
        <w:t>„…“</w:t>
      </w:r>
      <w:r w:rsidR="00F7264F" w:rsidRPr="00F7264F">
        <w:rPr>
          <w:rFonts w:ascii="Times New Roman" w:hAnsi="Times New Roman" w:cs="Times New Roman"/>
          <w:bCs/>
          <w:sz w:val="24"/>
          <w:szCs w:val="24"/>
        </w:rPr>
        <w:t xml:space="preserve"> DIČ: </w:t>
      </w:r>
      <w:r w:rsidR="00F7264F" w:rsidRPr="00F7264F">
        <w:rPr>
          <w:rFonts w:ascii="Times New Roman" w:hAnsi="Times New Roman" w:cs="Times New Roman"/>
          <w:bCs/>
          <w:sz w:val="24"/>
          <w:szCs w:val="24"/>
          <w:highlight w:val="yellow"/>
        </w:rPr>
        <w:t>„…“</w:t>
      </w:r>
    </w:p>
    <w:p w:rsidR="00F7264F" w:rsidRPr="00F7264F" w:rsidRDefault="00F7264F" w:rsidP="00F7264F">
      <w:pPr>
        <w:spacing w:after="0" w:line="240" w:lineRule="auto"/>
        <w:rPr>
          <w:rFonts w:ascii="Times New Roman" w:hAnsi="Times New Roman" w:cs="Times New Roman"/>
          <w:sz w:val="24"/>
          <w:szCs w:val="24"/>
        </w:rPr>
      </w:pPr>
      <w:r w:rsidRPr="00F7264F">
        <w:rPr>
          <w:rFonts w:ascii="Times New Roman" w:hAnsi="Times New Roman" w:cs="Times New Roman"/>
          <w:sz w:val="24"/>
          <w:szCs w:val="24"/>
        </w:rPr>
        <w:t xml:space="preserve">tel.: </w:t>
      </w:r>
      <w:r w:rsidRPr="00F7264F">
        <w:rPr>
          <w:rFonts w:ascii="Times New Roman" w:hAnsi="Times New Roman" w:cs="Times New Roman"/>
          <w:bCs/>
          <w:sz w:val="24"/>
          <w:szCs w:val="24"/>
          <w:highlight w:val="yellow"/>
        </w:rPr>
        <w:t>„…“</w:t>
      </w:r>
      <w:r w:rsidRPr="00F7264F">
        <w:rPr>
          <w:rFonts w:ascii="Times New Roman" w:hAnsi="Times New Roman" w:cs="Times New Roman"/>
          <w:sz w:val="24"/>
          <w:szCs w:val="24"/>
        </w:rPr>
        <w:t xml:space="preserve">, e-mail: </w:t>
      </w:r>
      <w:r w:rsidRPr="00F7264F">
        <w:rPr>
          <w:rFonts w:ascii="Times New Roman" w:hAnsi="Times New Roman" w:cs="Times New Roman"/>
          <w:bCs/>
          <w:sz w:val="24"/>
          <w:szCs w:val="24"/>
          <w:highlight w:val="yellow"/>
        </w:rPr>
        <w:t>„…“</w:t>
      </w:r>
    </w:p>
    <w:p w:rsidR="00F7264F" w:rsidRPr="00D137A2" w:rsidRDefault="00F7264F" w:rsidP="00F7264F">
      <w:pPr>
        <w:spacing w:after="0" w:line="240" w:lineRule="auto"/>
        <w:rPr>
          <w:rFonts w:ascii="Times New Roman" w:hAnsi="Times New Roman" w:cs="Times New Roman"/>
          <w:bCs/>
          <w:sz w:val="24"/>
          <w:szCs w:val="24"/>
        </w:rPr>
      </w:pPr>
    </w:p>
    <w:p w:rsidR="005F2D52" w:rsidRDefault="005F2D52" w:rsidP="00362A17">
      <w:pPr>
        <w:spacing w:after="0" w:line="240" w:lineRule="auto"/>
        <w:rPr>
          <w:rFonts w:ascii="Times New Roman" w:hAnsi="Times New Roman" w:cs="Times New Roman"/>
          <w:bCs/>
          <w:sz w:val="24"/>
          <w:szCs w:val="24"/>
        </w:rPr>
      </w:pPr>
    </w:p>
    <w:p w:rsidR="0054542A" w:rsidRDefault="0054542A" w:rsidP="00362A17">
      <w:pPr>
        <w:spacing w:after="0" w:line="240" w:lineRule="auto"/>
        <w:rPr>
          <w:rFonts w:ascii="Times New Roman" w:hAnsi="Times New Roman" w:cs="Times New Roman"/>
          <w:bCs/>
          <w:sz w:val="24"/>
          <w:szCs w:val="24"/>
        </w:rPr>
      </w:pPr>
    </w:p>
    <w:p w:rsidR="00362A17" w:rsidRDefault="00F16C10" w:rsidP="00362A17">
      <w:pPr>
        <w:spacing w:after="0" w:line="240" w:lineRule="auto"/>
        <w:rPr>
          <w:rFonts w:ascii="Times New Roman" w:hAnsi="Times New Roman" w:cs="Times New Roman"/>
          <w:bCs/>
          <w:sz w:val="24"/>
          <w:szCs w:val="24"/>
        </w:rPr>
      </w:pPr>
      <w:r>
        <w:rPr>
          <w:rFonts w:ascii="Times New Roman" w:hAnsi="Times New Roman" w:cs="Times New Roman"/>
          <w:bCs/>
          <w:sz w:val="24"/>
          <w:szCs w:val="24"/>
        </w:rPr>
        <w:t>d</w:t>
      </w:r>
      <w:r w:rsidR="00362A17">
        <w:rPr>
          <w:rFonts w:ascii="Times New Roman" w:hAnsi="Times New Roman" w:cs="Times New Roman"/>
          <w:bCs/>
          <w:sz w:val="24"/>
          <w:szCs w:val="24"/>
        </w:rPr>
        <w:t xml:space="preserve">ále jen jako </w:t>
      </w:r>
      <w:r>
        <w:rPr>
          <w:rFonts w:ascii="Times New Roman" w:hAnsi="Times New Roman" w:cs="Times New Roman"/>
          <w:bCs/>
          <w:sz w:val="24"/>
          <w:szCs w:val="24"/>
        </w:rPr>
        <w:t>„</w:t>
      </w:r>
      <w:r w:rsidR="00362A17" w:rsidRPr="00F16C10">
        <w:rPr>
          <w:rFonts w:ascii="Times New Roman" w:hAnsi="Times New Roman" w:cs="Times New Roman"/>
          <w:b/>
          <w:bCs/>
          <w:sz w:val="24"/>
          <w:szCs w:val="24"/>
        </w:rPr>
        <w:t>zhotovitel</w:t>
      </w:r>
      <w:r>
        <w:rPr>
          <w:rFonts w:ascii="Times New Roman" w:hAnsi="Times New Roman" w:cs="Times New Roman"/>
          <w:bCs/>
          <w:sz w:val="24"/>
          <w:szCs w:val="24"/>
        </w:rPr>
        <w:t>“</w:t>
      </w:r>
    </w:p>
    <w:p w:rsidR="00F16C10" w:rsidRDefault="00F16C10" w:rsidP="00362A17">
      <w:pPr>
        <w:spacing w:after="0" w:line="240" w:lineRule="auto"/>
        <w:rPr>
          <w:rFonts w:ascii="Times New Roman" w:hAnsi="Times New Roman" w:cs="Times New Roman"/>
          <w:bCs/>
          <w:sz w:val="24"/>
          <w:szCs w:val="24"/>
        </w:rPr>
      </w:pPr>
    </w:p>
    <w:p w:rsidR="00F16C10" w:rsidRPr="00362A17" w:rsidRDefault="00F16C10" w:rsidP="00362A17">
      <w:pPr>
        <w:spacing w:after="0" w:line="240" w:lineRule="auto"/>
        <w:rPr>
          <w:rFonts w:ascii="Times New Roman" w:hAnsi="Times New Roman" w:cs="Times New Roman"/>
          <w:sz w:val="24"/>
          <w:szCs w:val="24"/>
        </w:rPr>
      </w:pPr>
      <w:r>
        <w:rPr>
          <w:rFonts w:ascii="Times New Roman" w:hAnsi="Times New Roman" w:cs="Times New Roman"/>
          <w:bCs/>
          <w:sz w:val="24"/>
          <w:szCs w:val="24"/>
        </w:rPr>
        <w:t>(objednatel a zhotovitel dále společně také jako „smluvní strany“)</w:t>
      </w:r>
    </w:p>
    <w:p w:rsidR="00362A17" w:rsidRDefault="00362A17" w:rsidP="00362A17">
      <w:pPr>
        <w:spacing w:after="0" w:line="240" w:lineRule="auto"/>
        <w:jc w:val="center"/>
        <w:rPr>
          <w:rFonts w:ascii="Times New Roman" w:hAnsi="Times New Roman" w:cs="Times New Roman"/>
          <w:sz w:val="24"/>
          <w:szCs w:val="24"/>
        </w:rPr>
      </w:pPr>
    </w:p>
    <w:p w:rsidR="00362A17" w:rsidRDefault="00362A17">
      <w:pPr>
        <w:rPr>
          <w:rFonts w:ascii="Times New Roman" w:hAnsi="Times New Roman" w:cs="Times New Roman"/>
          <w:sz w:val="24"/>
          <w:szCs w:val="24"/>
        </w:rPr>
      </w:pPr>
      <w:r w:rsidRPr="00F16C10">
        <w:rPr>
          <w:rFonts w:ascii="Times New Roman" w:hAnsi="Times New Roman" w:cs="Times New Roman"/>
          <w:sz w:val="24"/>
          <w:szCs w:val="24"/>
        </w:rPr>
        <w:t>Uzavřeli níže uvedeného dne, měsíce a roku tuto</w:t>
      </w:r>
      <w:r w:rsidR="00F16C10" w:rsidRPr="00F16C10">
        <w:rPr>
          <w:rFonts w:ascii="Times New Roman" w:hAnsi="Times New Roman" w:cs="Times New Roman"/>
          <w:sz w:val="24"/>
          <w:szCs w:val="24"/>
        </w:rPr>
        <w:t>:</w:t>
      </w:r>
    </w:p>
    <w:p w:rsidR="00B360D3" w:rsidRPr="009F1AFC" w:rsidRDefault="00B360D3" w:rsidP="00B360D3">
      <w:pPr>
        <w:pStyle w:val="Odstavecseseznamem"/>
        <w:numPr>
          <w:ilvl w:val="0"/>
          <w:numId w:val="9"/>
        </w:numPr>
        <w:spacing w:after="0" w:line="240" w:lineRule="auto"/>
        <w:jc w:val="center"/>
        <w:rPr>
          <w:rFonts w:ascii="Times New Roman" w:hAnsi="Times New Roman" w:cs="Times New Roman"/>
          <w:b/>
          <w:sz w:val="24"/>
          <w:szCs w:val="24"/>
        </w:rPr>
      </w:pPr>
      <w:r w:rsidRPr="009F1AFC">
        <w:rPr>
          <w:rFonts w:ascii="Times New Roman" w:hAnsi="Times New Roman" w:cs="Times New Roman"/>
          <w:b/>
          <w:sz w:val="24"/>
          <w:szCs w:val="24"/>
        </w:rPr>
        <w:t>PŘEDMĚT SMLOUVY</w:t>
      </w:r>
    </w:p>
    <w:p w:rsidR="00F02FB5" w:rsidRPr="00F02FB5" w:rsidRDefault="00F02FB5" w:rsidP="00F02FB5">
      <w:pPr>
        <w:pStyle w:val="Default"/>
        <w:numPr>
          <w:ilvl w:val="0"/>
          <w:numId w:val="42"/>
        </w:numPr>
        <w:ind w:left="567" w:hanging="421"/>
        <w:jc w:val="both"/>
      </w:pPr>
      <w:r w:rsidRPr="00F02FB5">
        <w:t xml:space="preserve">Objednatel je příspěvkovou organizací hl. města Prahy zřízenou jako registrovaný poskytovatel pobytové sociální služby (č. registrace 1034718) podle ustanovení § 49 zákona č.108/2006 Sb., o sociálních službách. </w:t>
      </w:r>
    </w:p>
    <w:p w:rsidR="00F02FB5" w:rsidRPr="00F02FB5" w:rsidRDefault="00F02FB5" w:rsidP="00F02FB5">
      <w:pPr>
        <w:pStyle w:val="Default"/>
        <w:ind w:left="567"/>
        <w:jc w:val="both"/>
      </w:pPr>
    </w:p>
    <w:p w:rsidR="00F02FB5" w:rsidRPr="00F02FB5" w:rsidRDefault="00F02FB5" w:rsidP="00F02FB5">
      <w:pPr>
        <w:pStyle w:val="Default"/>
        <w:numPr>
          <w:ilvl w:val="0"/>
          <w:numId w:val="42"/>
        </w:numPr>
        <w:ind w:left="567" w:hanging="421"/>
        <w:jc w:val="both"/>
      </w:pPr>
      <w:r w:rsidRPr="00F02FB5">
        <w:t xml:space="preserve">Tato Smlouva je uzavřena na základě výběrového řízení k veřejné zakázce malého rozsahu na služby dle ustanovení § 27 zákona č. 134/2016 Sb., o zadávání veřejných zakázkách zadávanou postupem v souladu s ustanovením § 31 zákona, pod názvem „VYMALOVÁNÍ PROSTOR DOMOVA PRO SENIORY DOBŘICHOVICE“. </w:t>
      </w:r>
    </w:p>
    <w:p w:rsidR="00F02FB5" w:rsidRPr="00F02FB5" w:rsidRDefault="00F02FB5" w:rsidP="00F02FB5">
      <w:pPr>
        <w:pStyle w:val="Default"/>
        <w:ind w:left="567"/>
        <w:jc w:val="both"/>
      </w:pPr>
    </w:p>
    <w:p w:rsidR="00F02FB5" w:rsidRPr="00F02FB5" w:rsidRDefault="00F02FB5" w:rsidP="00F02FB5">
      <w:pPr>
        <w:pStyle w:val="Default"/>
        <w:numPr>
          <w:ilvl w:val="0"/>
          <w:numId w:val="42"/>
        </w:numPr>
        <w:ind w:left="567" w:hanging="421"/>
        <w:jc w:val="both"/>
      </w:pPr>
      <w:r w:rsidRPr="00F02FB5">
        <w:t>Zhotovitel se dle této smlouvy zavazuje pro objednatele provést dílo specifikované v článku 2. této smlouvy a objednatel se zavazuje za jeho provedení zaplatit zhotoviteli cenu specifikovanou v článku 4. této smlouvy.</w:t>
      </w:r>
    </w:p>
    <w:p w:rsidR="00F02FB5" w:rsidRPr="00F02FB5" w:rsidRDefault="00F02FB5" w:rsidP="00F02FB5">
      <w:pPr>
        <w:pStyle w:val="Default"/>
        <w:ind w:left="567"/>
        <w:jc w:val="both"/>
      </w:pPr>
    </w:p>
    <w:p w:rsidR="00F02FB5" w:rsidRPr="00F02FB5" w:rsidRDefault="00F02FB5" w:rsidP="00F02FB5">
      <w:pPr>
        <w:pStyle w:val="Default"/>
        <w:numPr>
          <w:ilvl w:val="0"/>
          <w:numId w:val="42"/>
        </w:numPr>
        <w:ind w:left="567" w:hanging="421"/>
        <w:jc w:val="both"/>
      </w:pPr>
      <w:r w:rsidRPr="00F02FB5">
        <w:t>Dílem se pro potřeby této smlouvy rozumí provést vymalování vybraných částí Domova pro seniory uvedených v tabulce:</w:t>
      </w:r>
    </w:p>
    <w:p w:rsidR="00F02FB5" w:rsidRPr="00F02FB5" w:rsidRDefault="00F02FB5" w:rsidP="00F02FB5">
      <w:pPr>
        <w:pStyle w:val="Default"/>
        <w:jc w:val="both"/>
        <w:rPr>
          <w:color w:val="00000A"/>
        </w:rPr>
      </w:pPr>
    </w:p>
    <w:tbl>
      <w:tblPr>
        <w:tblStyle w:val="Mkatabulky"/>
        <w:tblW w:w="0" w:type="auto"/>
        <w:tblLook w:val="04A0" w:firstRow="1" w:lastRow="0" w:firstColumn="1" w:lastColumn="0" w:noHBand="0" w:noVBand="1"/>
      </w:tblPr>
      <w:tblGrid>
        <w:gridCol w:w="1257"/>
        <w:gridCol w:w="1258"/>
        <w:gridCol w:w="1258"/>
        <w:gridCol w:w="1478"/>
        <w:gridCol w:w="2529"/>
        <w:gridCol w:w="1282"/>
      </w:tblGrid>
      <w:tr w:rsidR="00F02FB5" w:rsidRPr="00F02FB5" w:rsidTr="00E9772A">
        <w:trPr>
          <w:trHeight w:val="1260"/>
        </w:trPr>
        <w:tc>
          <w:tcPr>
            <w:tcW w:w="1920" w:type="dxa"/>
            <w:vMerge w:val="restart"/>
            <w:noWrap/>
            <w:hideMark/>
          </w:tcPr>
          <w:p w:rsidR="00F02FB5" w:rsidRPr="00F02FB5" w:rsidRDefault="00F02FB5" w:rsidP="00E9772A">
            <w:pPr>
              <w:pStyle w:val="Default"/>
              <w:jc w:val="both"/>
              <w:rPr>
                <w:b/>
                <w:bCs/>
                <w:color w:val="00000A"/>
              </w:rPr>
            </w:pPr>
            <w:r w:rsidRPr="00F02FB5">
              <w:rPr>
                <w:b/>
                <w:bCs/>
                <w:color w:val="00000A"/>
              </w:rPr>
              <w:lastRenderedPageBreak/>
              <w:t>Číslo pokoje / prostora</w:t>
            </w:r>
          </w:p>
        </w:tc>
        <w:tc>
          <w:tcPr>
            <w:tcW w:w="1920" w:type="dxa"/>
            <w:vMerge w:val="restart"/>
            <w:noWrap/>
            <w:hideMark/>
          </w:tcPr>
          <w:p w:rsidR="00F02FB5" w:rsidRPr="00F02FB5" w:rsidRDefault="00F02FB5" w:rsidP="00E9772A">
            <w:pPr>
              <w:pStyle w:val="Default"/>
              <w:jc w:val="both"/>
              <w:rPr>
                <w:b/>
                <w:bCs/>
                <w:color w:val="00000A"/>
              </w:rPr>
            </w:pPr>
            <w:r w:rsidRPr="00F02FB5">
              <w:rPr>
                <w:b/>
                <w:bCs/>
                <w:color w:val="00000A"/>
              </w:rPr>
              <w:t>Patro</w:t>
            </w:r>
          </w:p>
        </w:tc>
        <w:tc>
          <w:tcPr>
            <w:tcW w:w="1920" w:type="dxa"/>
            <w:vMerge w:val="restart"/>
            <w:noWrap/>
            <w:hideMark/>
          </w:tcPr>
          <w:p w:rsidR="00F02FB5" w:rsidRPr="00F02FB5" w:rsidRDefault="00F02FB5" w:rsidP="00E9772A">
            <w:pPr>
              <w:pStyle w:val="Default"/>
              <w:jc w:val="both"/>
              <w:rPr>
                <w:b/>
                <w:bCs/>
                <w:color w:val="00000A"/>
              </w:rPr>
            </w:pPr>
            <w:r w:rsidRPr="00F02FB5">
              <w:rPr>
                <w:b/>
                <w:bCs/>
                <w:color w:val="00000A"/>
              </w:rPr>
              <w:t>Výměra (m</w:t>
            </w:r>
            <w:r w:rsidRPr="00F02FB5">
              <w:rPr>
                <w:b/>
                <w:bCs/>
                <w:color w:val="00000A"/>
                <w:vertAlign w:val="superscript"/>
              </w:rPr>
              <w:t>2</w:t>
            </w:r>
            <w:r w:rsidRPr="00F02FB5">
              <w:rPr>
                <w:b/>
                <w:bCs/>
                <w:color w:val="00000A"/>
              </w:rPr>
              <w:t>)</w:t>
            </w:r>
          </w:p>
        </w:tc>
        <w:tc>
          <w:tcPr>
            <w:tcW w:w="2280" w:type="dxa"/>
            <w:vMerge w:val="restart"/>
            <w:hideMark/>
          </w:tcPr>
          <w:p w:rsidR="00F02FB5" w:rsidRPr="00F02FB5" w:rsidRDefault="00F02FB5" w:rsidP="00E9772A">
            <w:pPr>
              <w:pStyle w:val="Default"/>
              <w:jc w:val="both"/>
              <w:rPr>
                <w:b/>
                <w:bCs/>
                <w:color w:val="00000A"/>
              </w:rPr>
            </w:pPr>
            <w:r w:rsidRPr="00F02FB5">
              <w:rPr>
                <w:b/>
                <w:bCs/>
                <w:color w:val="00000A"/>
              </w:rPr>
              <w:t>Specifikace barvy místnosti</w:t>
            </w:r>
          </w:p>
        </w:tc>
        <w:tc>
          <w:tcPr>
            <w:tcW w:w="4000" w:type="dxa"/>
            <w:vMerge w:val="restart"/>
            <w:hideMark/>
          </w:tcPr>
          <w:p w:rsidR="00F02FB5" w:rsidRPr="00F02FB5" w:rsidRDefault="00F02FB5" w:rsidP="00E9772A">
            <w:pPr>
              <w:pStyle w:val="Default"/>
              <w:jc w:val="both"/>
              <w:rPr>
                <w:b/>
                <w:bCs/>
                <w:color w:val="00000A"/>
              </w:rPr>
            </w:pPr>
            <w:r w:rsidRPr="00F02FB5">
              <w:rPr>
                <w:b/>
                <w:bCs/>
                <w:color w:val="00000A"/>
              </w:rPr>
              <w:t>Barva/výška soklu</w:t>
            </w:r>
          </w:p>
        </w:tc>
        <w:tc>
          <w:tcPr>
            <w:tcW w:w="1960" w:type="dxa"/>
            <w:vMerge w:val="restart"/>
            <w:hideMark/>
          </w:tcPr>
          <w:p w:rsidR="00F02FB5" w:rsidRPr="00F02FB5" w:rsidRDefault="00F02FB5" w:rsidP="00E9772A">
            <w:pPr>
              <w:pStyle w:val="Default"/>
              <w:jc w:val="both"/>
              <w:rPr>
                <w:b/>
                <w:bCs/>
                <w:color w:val="00000A"/>
              </w:rPr>
            </w:pPr>
            <w:r w:rsidRPr="00F02FB5">
              <w:rPr>
                <w:b/>
                <w:bCs/>
                <w:color w:val="00000A"/>
              </w:rPr>
              <w:t>Poznámka</w:t>
            </w:r>
          </w:p>
        </w:tc>
      </w:tr>
      <w:tr w:rsidR="00F02FB5" w:rsidRPr="00F02FB5" w:rsidTr="00E9772A">
        <w:trPr>
          <w:trHeight w:val="517"/>
        </w:trPr>
        <w:tc>
          <w:tcPr>
            <w:tcW w:w="1920" w:type="dxa"/>
            <w:vMerge/>
            <w:hideMark/>
          </w:tcPr>
          <w:p w:rsidR="00F02FB5" w:rsidRPr="00F02FB5" w:rsidRDefault="00F02FB5" w:rsidP="00E9772A">
            <w:pPr>
              <w:pStyle w:val="Default"/>
              <w:jc w:val="both"/>
              <w:rPr>
                <w:b/>
                <w:bCs/>
                <w:color w:val="00000A"/>
              </w:rPr>
            </w:pPr>
          </w:p>
        </w:tc>
        <w:tc>
          <w:tcPr>
            <w:tcW w:w="1920" w:type="dxa"/>
            <w:vMerge/>
            <w:hideMark/>
          </w:tcPr>
          <w:p w:rsidR="00F02FB5" w:rsidRPr="00F02FB5" w:rsidRDefault="00F02FB5" w:rsidP="00E9772A">
            <w:pPr>
              <w:pStyle w:val="Default"/>
              <w:jc w:val="both"/>
              <w:rPr>
                <w:b/>
                <w:bCs/>
                <w:color w:val="00000A"/>
              </w:rPr>
            </w:pPr>
          </w:p>
        </w:tc>
        <w:tc>
          <w:tcPr>
            <w:tcW w:w="1920" w:type="dxa"/>
            <w:vMerge/>
            <w:hideMark/>
          </w:tcPr>
          <w:p w:rsidR="00F02FB5" w:rsidRPr="00F02FB5" w:rsidRDefault="00F02FB5" w:rsidP="00E9772A">
            <w:pPr>
              <w:pStyle w:val="Default"/>
              <w:jc w:val="both"/>
              <w:rPr>
                <w:b/>
                <w:bCs/>
                <w:color w:val="00000A"/>
              </w:rPr>
            </w:pPr>
          </w:p>
        </w:tc>
        <w:tc>
          <w:tcPr>
            <w:tcW w:w="2280" w:type="dxa"/>
            <w:vMerge/>
            <w:hideMark/>
          </w:tcPr>
          <w:p w:rsidR="00F02FB5" w:rsidRPr="00F02FB5" w:rsidRDefault="00F02FB5" w:rsidP="00E9772A">
            <w:pPr>
              <w:pStyle w:val="Default"/>
              <w:jc w:val="both"/>
              <w:rPr>
                <w:b/>
                <w:bCs/>
                <w:color w:val="00000A"/>
              </w:rPr>
            </w:pPr>
          </w:p>
        </w:tc>
        <w:tc>
          <w:tcPr>
            <w:tcW w:w="4000" w:type="dxa"/>
            <w:vMerge/>
            <w:hideMark/>
          </w:tcPr>
          <w:p w:rsidR="00F02FB5" w:rsidRPr="00F02FB5" w:rsidRDefault="00F02FB5" w:rsidP="00E9772A">
            <w:pPr>
              <w:pStyle w:val="Default"/>
              <w:jc w:val="both"/>
              <w:rPr>
                <w:b/>
                <w:bCs/>
                <w:color w:val="00000A"/>
              </w:rPr>
            </w:pPr>
          </w:p>
        </w:tc>
        <w:tc>
          <w:tcPr>
            <w:tcW w:w="1960" w:type="dxa"/>
            <w:vMerge/>
            <w:hideMark/>
          </w:tcPr>
          <w:p w:rsidR="00F02FB5" w:rsidRPr="00F02FB5" w:rsidRDefault="00F02FB5" w:rsidP="00E9772A">
            <w:pPr>
              <w:pStyle w:val="Default"/>
              <w:jc w:val="both"/>
              <w:rPr>
                <w:b/>
                <w:bCs/>
                <w:color w:val="00000A"/>
              </w:rPr>
            </w:pPr>
          </w:p>
        </w:tc>
      </w:tr>
      <w:tr w:rsidR="00F02FB5" w:rsidRPr="00F02FB5" w:rsidTr="00E9772A">
        <w:trPr>
          <w:trHeight w:val="630"/>
        </w:trPr>
        <w:tc>
          <w:tcPr>
            <w:tcW w:w="1920" w:type="dxa"/>
            <w:noWrap/>
            <w:hideMark/>
          </w:tcPr>
          <w:p w:rsidR="00F02FB5" w:rsidRPr="00F02FB5" w:rsidRDefault="00F02FB5" w:rsidP="00E9772A">
            <w:pPr>
              <w:pStyle w:val="Default"/>
              <w:jc w:val="both"/>
              <w:rPr>
                <w:b/>
                <w:bCs/>
                <w:color w:val="00000A"/>
              </w:rPr>
            </w:pPr>
            <w:r w:rsidRPr="00F02FB5">
              <w:rPr>
                <w:b/>
                <w:bCs/>
                <w:color w:val="00000A"/>
              </w:rPr>
              <w:t>1</w:t>
            </w:r>
          </w:p>
        </w:tc>
        <w:tc>
          <w:tcPr>
            <w:tcW w:w="1920" w:type="dxa"/>
            <w:noWrap/>
            <w:hideMark/>
          </w:tcPr>
          <w:p w:rsidR="00F02FB5" w:rsidRPr="00F02FB5" w:rsidRDefault="00F02FB5" w:rsidP="00E9772A">
            <w:pPr>
              <w:pStyle w:val="Default"/>
              <w:jc w:val="both"/>
              <w:rPr>
                <w:b/>
                <w:bCs/>
                <w:color w:val="00000A"/>
              </w:rPr>
            </w:pPr>
            <w:r w:rsidRPr="00F02FB5">
              <w:rPr>
                <w:b/>
                <w:bCs/>
                <w:color w:val="00000A"/>
              </w:rPr>
              <w:t>1.NP</w:t>
            </w:r>
          </w:p>
        </w:tc>
        <w:tc>
          <w:tcPr>
            <w:tcW w:w="1920" w:type="dxa"/>
            <w:noWrap/>
            <w:hideMark/>
          </w:tcPr>
          <w:p w:rsidR="00F02FB5" w:rsidRPr="00F02FB5" w:rsidRDefault="00F02FB5" w:rsidP="00E9772A">
            <w:pPr>
              <w:pStyle w:val="Default"/>
              <w:jc w:val="both"/>
              <w:rPr>
                <w:b/>
                <w:bCs/>
                <w:color w:val="00000A"/>
              </w:rPr>
            </w:pPr>
            <w:r w:rsidRPr="00F02FB5">
              <w:rPr>
                <w:b/>
                <w:bCs/>
                <w:color w:val="00000A"/>
              </w:rPr>
              <w:t>86,76</w:t>
            </w:r>
          </w:p>
        </w:tc>
        <w:tc>
          <w:tcPr>
            <w:tcW w:w="2280" w:type="dxa"/>
            <w:noWrap/>
            <w:hideMark/>
          </w:tcPr>
          <w:p w:rsidR="00F02FB5" w:rsidRPr="00F02FB5" w:rsidRDefault="00F02FB5" w:rsidP="00E9772A">
            <w:pPr>
              <w:pStyle w:val="Default"/>
              <w:rPr>
                <w:color w:val="00000A"/>
              </w:rPr>
            </w:pPr>
            <w:r w:rsidRPr="00F02FB5">
              <w:rPr>
                <w:color w:val="00000A"/>
              </w:rPr>
              <w:t>RAL 9016</w:t>
            </w:r>
          </w:p>
        </w:tc>
        <w:tc>
          <w:tcPr>
            <w:tcW w:w="4000" w:type="dxa"/>
            <w:noWrap/>
            <w:hideMark/>
          </w:tcPr>
          <w:p w:rsidR="00F02FB5" w:rsidRPr="00F02FB5" w:rsidRDefault="00F02FB5" w:rsidP="00E9772A">
            <w:pPr>
              <w:pStyle w:val="Default"/>
              <w:rPr>
                <w:color w:val="00000A"/>
              </w:rPr>
            </w:pPr>
            <w:r w:rsidRPr="00F02FB5">
              <w:rPr>
                <w:color w:val="00000A"/>
              </w:rPr>
              <w:t>o odstín tmavší RAL 9018/1,2m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630"/>
        </w:trPr>
        <w:tc>
          <w:tcPr>
            <w:tcW w:w="1920" w:type="dxa"/>
            <w:noWrap/>
            <w:hideMark/>
          </w:tcPr>
          <w:p w:rsidR="00F02FB5" w:rsidRPr="00F02FB5" w:rsidRDefault="00F02FB5" w:rsidP="00E9772A">
            <w:pPr>
              <w:pStyle w:val="Default"/>
              <w:jc w:val="both"/>
              <w:rPr>
                <w:b/>
                <w:bCs/>
                <w:color w:val="00000A"/>
              </w:rPr>
            </w:pPr>
            <w:r w:rsidRPr="00F02FB5">
              <w:rPr>
                <w:b/>
                <w:bCs/>
                <w:color w:val="00000A"/>
              </w:rPr>
              <w:t>2</w:t>
            </w:r>
          </w:p>
        </w:tc>
        <w:tc>
          <w:tcPr>
            <w:tcW w:w="1920" w:type="dxa"/>
            <w:noWrap/>
            <w:hideMark/>
          </w:tcPr>
          <w:p w:rsidR="00F02FB5" w:rsidRPr="00F02FB5" w:rsidRDefault="00F02FB5" w:rsidP="00E9772A">
            <w:pPr>
              <w:pStyle w:val="Default"/>
              <w:jc w:val="both"/>
              <w:rPr>
                <w:b/>
                <w:bCs/>
                <w:color w:val="00000A"/>
              </w:rPr>
            </w:pPr>
            <w:r w:rsidRPr="00F02FB5">
              <w:rPr>
                <w:b/>
                <w:bCs/>
                <w:color w:val="00000A"/>
              </w:rPr>
              <w:t>1.NP</w:t>
            </w:r>
          </w:p>
        </w:tc>
        <w:tc>
          <w:tcPr>
            <w:tcW w:w="1920" w:type="dxa"/>
            <w:noWrap/>
            <w:hideMark/>
          </w:tcPr>
          <w:p w:rsidR="00F02FB5" w:rsidRPr="00F02FB5" w:rsidRDefault="00F02FB5" w:rsidP="00E9772A">
            <w:pPr>
              <w:pStyle w:val="Default"/>
              <w:jc w:val="both"/>
              <w:rPr>
                <w:b/>
                <w:bCs/>
                <w:color w:val="00000A"/>
              </w:rPr>
            </w:pPr>
            <w:r w:rsidRPr="00F02FB5">
              <w:rPr>
                <w:b/>
                <w:bCs/>
                <w:color w:val="00000A"/>
              </w:rPr>
              <w:t>63,83</w:t>
            </w:r>
          </w:p>
        </w:tc>
        <w:tc>
          <w:tcPr>
            <w:tcW w:w="2280" w:type="dxa"/>
            <w:noWrap/>
            <w:hideMark/>
          </w:tcPr>
          <w:p w:rsidR="00F02FB5" w:rsidRPr="00F02FB5" w:rsidRDefault="00F02FB5" w:rsidP="00E9772A">
            <w:pPr>
              <w:pStyle w:val="Default"/>
              <w:rPr>
                <w:color w:val="00000A"/>
              </w:rPr>
            </w:pPr>
            <w:r w:rsidRPr="00F02FB5">
              <w:rPr>
                <w:color w:val="00000A"/>
              </w:rPr>
              <w:t>RAL 9016</w:t>
            </w:r>
          </w:p>
        </w:tc>
        <w:tc>
          <w:tcPr>
            <w:tcW w:w="4000" w:type="dxa"/>
            <w:noWrap/>
            <w:hideMark/>
          </w:tcPr>
          <w:p w:rsidR="00F02FB5" w:rsidRPr="00F02FB5" w:rsidRDefault="00F02FB5" w:rsidP="00E9772A">
            <w:pPr>
              <w:pStyle w:val="Default"/>
              <w:rPr>
                <w:color w:val="00000A"/>
              </w:rPr>
            </w:pPr>
            <w:r w:rsidRPr="00F02FB5">
              <w:rPr>
                <w:color w:val="00000A"/>
              </w:rPr>
              <w:t>o odstín tmavší RAL 9018/1,2m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630"/>
        </w:trPr>
        <w:tc>
          <w:tcPr>
            <w:tcW w:w="1920" w:type="dxa"/>
            <w:noWrap/>
            <w:hideMark/>
          </w:tcPr>
          <w:p w:rsidR="00F02FB5" w:rsidRPr="00F02FB5" w:rsidRDefault="00F02FB5" w:rsidP="00E9772A">
            <w:pPr>
              <w:pStyle w:val="Default"/>
              <w:jc w:val="both"/>
              <w:rPr>
                <w:b/>
                <w:bCs/>
                <w:color w:val="00000A"/>
              </w:rPr>
            </w:pPr>
            <w:r w:rsidRPr="00F02FB5">
              <w:rPr>
                <w:b/>
                <w:bCs/>
                <w:color w:val="00000A"/>
              </w:rPr>
              <w:t>5</w:t>
            </w:r>
          </w:p>
        </w:tc>
        <w:tc>
          <w:tcPr>
            <w:tcW w:w="1920" w:type="dxa"/>
            <w:noWrap/>
            <w:hideMark/>
          </w:tcPr>
          <w:p w:rsidR="00F02FB5" w:rsidRPr="00F02FB5" w:rsidRDefault="00F02FB5" w:rsidP="00E9772A">
            <w:pPr>
              <w:pStyle w:val="Default"/>
              <w:jc w:val="both"/>
              <w:rPr>
                <w:b/>
                <w:bCs/>
                <w:color w:val="00000A"/>
              </w:rPr>
            </w:pPr>
            <w:r w:rsidRPr="00F02FB5">
              <w:rPr>
                <w:b/>
                <w:bCs/>
                <w:color w:val="00000A"/>
              </w:rPr>
              <w:t>1.NP</w:t>
            </w:r>
          </w:p>
        </w:tc>
        <w:tc>
          <w:tcPr>
            <w:tcW w:w="1920" w:type="dxa"/>
            <w:noWrap/>
            <w:hideMark/>
          </w:tcPr>
          <w:p w:rsidR="00F02FB5" w:rsidRPr="00F02FB5" w:rsidRDefault="00F02FB5" w:rsidP="00E9772A">
            <w:pPr>
              <w:pStyle w:val="Default"/>
              <w:jc w:val="both"/>
              <w:rPr>
                <w:b/>
                <w:bCs/>
                <w:color w:val="00000A"/>
              </w:rPr>
            </w:pPr>
            <w:r w:rsidRPr="00F02FB5">
              <w:rPr>
                <w:b/>
                <w:bCs/>
                <w:color w:val="00000A"/>
              </w:rPr>
              <w:t>110,23</w:t>
            </w:r>
          </w:p>
        </w:tc>
        <w:tc>
          <w:tcPr>
            <w:tcW w:w="2280" w:type="dxa"/>
            <w:noWrap/>
            <w:hideMark/>
          </w:tcPr>
          <w:p w:rsidR="00F02FB5" w:rsidRPr="00F02FB5" w:rsidRDefault="00F02FB5" w:rsidP="00E9772A">
            <w:pPr>
              <w:pStyle w:val="Default"/>
              <w:rPr>
                <w:color w:val="00000A"/>
              </w:rPr>
            </w:pPr>
            <w:r w:rsidRPr="00F02FB5">
              <w:rPr>
                <w:color w:val="00000A"/>
              </w:rPr>
              <w:t>RAL 9016</w:t>
            </w:r>
          </w:p>
        </w:tc>
        <w:tc>
          <w:tcPr>
            <w:tcW w:w="4000" w:type="dxa"/>
            <w:noWrap/>
            <w:hideMark/>
          </w:tcPr>
          <w:p w:rsidR="00F02FB5" w:rsidRPr="00F02FB5" w:rsidRDefault="00F02FB5" w:rsidP="00E9772A">
            <w:pPr>
              <w:pStyle w:val="Default"/>
              <w:rPr>
                <w:color w:val="00000A"/>
              </w:rPr>
            </w:pPr>
            <w:r w:rsidRPr="00F02FB5">
              <w:rPr>
                <w:color w:val="00000A"/>
              </w:rPr>
              <w:t>o odstín tmavší RAL 9018/1,2m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630"/>
        </w:trPr>
        <w:tc>
          <w:tcPr>
            <w:tcW w:w="1920" w:type="dxa"/>
            <w:noWrap/>
            <w:hideMark/>
          </w:tcPr>
          <w:p w:rsidR="00F02FB5" w:rsidRPr="00F02FB5" w:rsidRDefault="00F02FB5" w:rsidP="00E9772A">
            <w:pPr>
              <w:pStyle w:val="Default"/>
              <w:jc w:val="both"/>
              <w:rPr>
                <w:b/>
                <w:bCs/>
                <w:color w:val="00000A"/>
              </w:rPr>
            </w:pPr>
            <w:r w:rsidRPr="00F02FB5">
              <w:rPr>
                <w:b/>
                <w:bCs/>
                <w:color w:val="00000A"/>
              </w:rPr>
              <w:t>Kanceláře</w:t>
            </w:r>
          </w:p>
        </w:tc>
        <w:tc>
          <w:tcPr>
            <w:tcW w:w="1920" w:type="dxa"/>
            <w:noWrap/>
            <w:hideMark/>
          </w:tcPr>
          <w:p w:rsidR="00F02FB5" w:rsidRPr="00F02FB5" w:rsidRDefault="00F02FB5" w:rsidP="00E9772A">
            <w:pPr>
              <w:pStyle w:val="Default"/>
              <w:jc w:val="both"/>
              <w:rPr>
                <w:b/>
                <w:bCs/>
                <w:color w:val="00000A"/>
              </w:rPr>
            </w:pPr>
            <w:r w:rsidRPr="00F02FB5">
              <w:rPr>
                <w:b/>
                <w:bCs/>
                <w:color w:val="00000A"/>
              </w:rPr>
              <w:t>1.NP</w:t>
            </w:r>
          </w:p>
        </w:tc>
        <w:tc>
          <w:tcPr>
            <w:tcW w:w="1920" w:type="dxa"/>
            <w:noWrap/>
            <w:hideMark/>
          </w:tcPr>
          <w:p w:rsidR="00F02FB5" w:rsidRPr="00F02FB5" w:rsidRDefault="00F02FB5" w:rsidP="00E9772A">
            <w:pPr>
              <w:pStyle w:val="Default"/>
              <w:jc w:val="both"/>
              <w:rPr>
                <w:b/>
                <w:bCs/>
                <w:color w:val="00000A"/>
              </w:rPr>
            </w:pPr>
            <w:r w:rsidRPr="00F02FB5">
              <w:rPr>
                <w:b/>
                <w:bCs/>
                <w:color w:val="00000A"/>
              </w:rPr>
              <w:t>255,69</w:t>
            </w:r>
          </w:p>
        </w:tc>
        <w:tc>
          <w:tcPr>
            <w:tcW w:w="2280" w:type="dxa"/>
            <w:noWrap/>
            <w:hideMark/>
          </w:tcPr>
          <w:p w:rsidR="00F02FB5" w:rsidRPr="00F02FB5" w:rsidRDefault="00F02FB5" w:rsidP="00E9772A">
            <w:pPr>
              <w:pStyle w:val="Default"/>
              <w:rPr>
                <w:color w:val="00000A"/>
              </w:rPr>
            </w:pPr>
            <w:r w:rsidRPr="00F02FB5">
              <w:rPr>
                <w:color w:val="00000A"/>
              </w:rPr>
              <w:t>RAL 7030</w:t>
            </w:r>
          </w:p>
        </w:tc>
        <w:tc>
          <w:tcPr>
            <w:tcW w:w="4000" w:type="dxa"/>
            <w:noWrap/>
            <w:hideMark/>
          </w:tcPr>
          <w:p w:rsidR="00F02FB5" w:rsidRPr="00F02FB5" w:rsidRDefault="00F02FB5" w:rsidP="00E9772A">
            <w:pPr>
              <w:pStyle w:val="Default"/>
              <w:rPr>
                <w:color w:val="00000A"/>
              </w:rPr>
            </w:pPr>
            <w:r w:rsidRPr="00F02FB5">
              <w:rPr>
                <w:color w:val="00000A"/>
              </w:rPr>
              <w:t>není</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630"/>
        </w:trPr>
        <w:tc>
          <w:tcPr>
            <w:tcW w:w="1920" w:type="dxa"/>
            <w:noWrap/>
            <w:hideMark/>
          </w:tcPr>
          <w:p w:rsidR="00F02FB5" w:rsidRPr="00F02FB5" w:rsidRDefault="00F02FB5" w:rsidP="00E9772A">
            <w:pPr>
              <w:pStyle w:val="Default"/>
              <w:jc w:val="both"/>
              <w:rPr>
                <w:b/>
                <w:bCs/>
                <w:color w:val="00000A"/>
              </w:rPr>
            </w:pPr>
            <w:r w:rsidRPr="00F02FB5">
              <w:rPr>
                <w:b/>
                <w:bCs/>
                <w:color w:val="00000A"/>
              </w:rPr>
              <w:t>Jídelna</w:t>
            </w:r>
          </w:p>
        </w:tc>
        <w:tc>
          <w:tcPr>
            <w:tcW w:w="1920" w:type="dxa"/>
            <w:noWrap/>
            <w:hideMark/>
          </w:tcPr>
          <w:p w:rsidR="00F02FB5" w:rsidRPr="00F02FB5" w:rsidRDefault="00F02FB5" w:rsidP="00E9772A">
            <w:pPr>
              <w:pStyle w:val="Default"/>
              <w:jc w:val="both"/>
              <w:rPr>
                <w:b/>
                <w:bCs/>
                <w:color w:val="00000A"/>
              </w:rPr>
            </w:pPr>
            <w:r w:rsidRPr="00F02FB5">
              <w:rPr>
                <w:b/>
                <w:bCs/>
                <w:color w:val="00000A"/>
              </w:rPr>
              <w:t>1.NP</w:t>
            </w:r>
          </w:p>
        </w:tc>
        <w:tc>
          <w:tcPr>
            <w:tcW w:w="1920" w:type="dxa"/>
            <w:noWrap/>
            <w:hideMark/>
          </w:tcPr>
          <w:p w:rsidR="00F02FB5" w:rsidRPr="00F02FB5" w:rsidRDefault="00F02FB5" w:rsidP="00E9772A">
            <w:pPr>
              <w:pStyle w:val="Default"/>
              <w:jc w:val="both"/>
              <w:rPr>
                <w:b/>
                <w:bCs/>
                <w:color w:val="00000A"/>
              </w:rPr>
            </w:pPr>
            <w:r w:rsidRPr="00F02FB5">
              <w:rPr>
                <w:b/>
                <w:bCs/>
                <w:color w:val="00000A"/>
              </w:rPr>
              <w:t>199,91</w:t>
            </w:r>
          </w:p>
        </w:tc>
        <w:tc>
          <w:tcPr>
            <w:tcW w:w="2280" w:type="dxa"/>
            <w:noWrap/>
            <w:hideMark/>
          </w:tcPr>
          <w:p w:rsidR="00F02FB5" w:rsidRPr="00F02FB5" w:rsidRDefault="00F02FB5" w:rsidP="00E9772A">
            <w:pPr>
              <w:pStyle w:val="Default"/>
              <w:rPr>
                <w:color w:val="00000A"/>
              </w:rPr>
            </w:pPr>
            <w:r w:rsidRPr="00F02FB5">
              <w:rPr>
                <w:color w:val="00000A"/>
              </w:rPr>
              <w:t>RAL 9016</w:t>
            </w:r>
          </w:p>
        </w:tc>
        <w:tc>
          <w:tcPr>
            <w:tcW w:w="4000" w:type="dxa"/>
            <w:noWrap/>
            <w:hideMark/>
          </w:tcPr>
          <w:p w:rsidR="00F02FB5" w:rsidRPr="00F02FB5" w:rsidRDefault="00F02FB5" w:rsidP="00E9772A">
            <w:pPr>
              <w:pStyle w:val="Default"/>
              <w:rPr>
                <w:color w:val="00000A"/>
              </w:rPr>
            </w:pPr>
            <w:r w:rsidRPr="00F02FB5">
              <w:rPr>
                <w:color w:val="00000A"/>
              </w:rPr>
              <w:t>RAL 1004/1,2m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645"/>
        </w:trPr>
        <w:tc>
          <w:tcPr>
            <w:tcW w:w="1920" w:type="dxa"/>
            <w:noWrap/>
            <w:hideMark/>
          </w:tcPr>
          <w:p w:rsidR="00F02FB5" w:rsidRPr="00F02FB5" w:rsidRDefault="00F02FB5" w:rsidP="00E9772A">
            <w:pPr>
              <w:pStyle w:val="Default"/>
              <w:jc w:val="both"/>
              <w:rPr>
                <w:b/>
                <w:bCs/>
                <w:color w:val="00000A"/>
              </w:rPr>
            </w:pPr>
            <w:r w:rsidRPr="00F02FB5">
              <w:rPr>
                <w:b/>
                <w:bCs/>
                <w:color w:val="00000A"/>
              </w:rPr>
              <w:t>Chodba</w:t>
            </w:r>
          </w:p>
        </w:tc>
        <w:tc>
          <w:tcPr>
            <w:tcW w:w="1920" w:type="dxa"/>
            <w:noWrap/>
            <w:hideMark/>
          </w:tcPr>
          <w:p w:rsidR="00F02FB5" w:rsidRPr="00F02FB5" w:rsidRDefault="00F02FB5" w:rsidP="00E9772A">
            <w:pPr>
              <w:pStyle w:val="Default"/>
              <w:jc w:val="both"/>
              <w:rPr>
                <w:b/>
                <w:bCs/>
                <w:color w:val="00000A"/>
              </w:rPr>
            </w:pPr>
            <w:r w:rsidRPr="00F02FB5">
              <w:rPr>
                <w:b/>
                <w:bCs/>
                <w:color w:val="00000A"/>
              </w:rPr>
              <w:t>1.NP</w:t>
            </w:r>
          </w:p>
        </w:tc>
        <w:tc>
          <w:tcPr>
            <w:tcW w:w="1920" w:type="dxa"/>
            <w:noWrap/>
            <w:hideMark/>
          </w:tcPr>
          <w:p w:rsidR="00F02FB5" w:rsidRPr="00F02FB5" w:rsidRDefault="00F02FB5" w:rsidP="00E9772A">
            <w:pPr>
              <w:pStyle w:val="Default"/>
              <w:jc w:val="both"/>
              <w:rPr>
                <w:b/>
                <w:bCs/>
                <w:color w:val="00000A"/>
              </w:rPr>
            </w:pPr>
            <w:r w:rsidRPr="00F02FB5">
              <w:rPr>
                <w:b/>
                <w:bCs/>
                <w:color w:val="00000A"/>
              </w:rPr>
              <w:t>356,44</w:t>
            </w:r>
          </w:p>
        </w:tc>
        <w:tc>
          <w:tcPr>
            <w:tcW w:w="2280" w:type="dxa"/>
            <w:noWrap/>
            <w:hideMark/>
          </w:tcPr>
          <w:p w:rsidR="00F02FB5" w:rsidRPr="00F02FB5" w:rsidRDefault="00F02FB5" w:rsidP="00E9772A">
            <w:pPr>
              <w:pStyle w:val="Default"/>
              <w:rPr>
                <w:color w:val="00000A"/>
              </w:rPr>
            </w:pPr>
            <w:r w:rsidRPr="00F02FB5">
              <w:rPr>
                <w:color w:val="00000A"/>
              </w:rPr>
              <w:t>RAL 9016</w:t>
            </w:r>
          </w:p>
        </w:tc>
        <w:tc>
          <w:tcPr>
            <w:tcW w:w="4000" w:type="dxa"/>
            <w:noWrap/>
            <w:hideMark/>
          </w:tcPr>
          <w:p w:rsidR="00F02FB5" w:rsidRPr="00F02FB5" w:rsidRDefault="00F02FB5" w:rsidP="00E9772A">
            <w:pPr>
              <w:pStyle w:val="Default"/>
              <w:rPr>
                <w:color w:val="00000A"/>
              </w:rPr>
            </w:pPr>
            <w:r w:rsidRPr="00F02FB5">
              <w:rPr>
                <w:color w:val="00000A"/>
              </w:rPr>
              <w:t>RAL 1004/1,2m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330"/>
        </w:trPr>
        <w:tc>
          <w:tcPr>
            <w:tcW w:w="1920" w:type="dxa"/>
            <w:noWrap/>
            <w:hideMark/>
          </w:tcPr>
          <w:p w:rsidR="00F02FB5" w:rsidRPr="00F02FB5" w:rsidRDefault="00F02FB5" w:rsidP="00E9772A">
            <w:pPr>
              <w:pStyle w:val="Default"/>
              <w:jc w:val="both"/>
              <w:rPr>
                <w:b/>
                <w:bCs/>
                <w:color w:val="00000A"/>
              </w:rPr>
            </w:pPr>
            <w:r w:rsidRPr="00F02FB5">
              <w:rPr>
                <w:b/>
                <w:bCs/>
                <w:color w:val="00000A"/>
              </w:rPr>
              <w:t>CELKEM</w:t>
            </w:r>
          </w:p>
        </w:tc>
        <w:tc>
          <w:tcPr>
            <w:tcW w:w="1920" w:type="dxa"/>
            <w:noWrap/>
            <w:hideMark/>
          </w:tcPr>
          <w:p w:rsidR="00F02FB5" w:rsidRPr="00F02FB5" w:rsidRDefault="00F02FB5" w:rsidP="00E9772A">
            <w:pPr>
              <w:pStyle w:val="Default"/>
              <w:jc w:val="both"/>
              <w:rPr>
                <w:b/>
                <w:bCs/>
                <w:color w:val="00000A"/>
              </w:rPr>
            </w:pPr>
            <w:r w:rsidRPr="00F02FB5">
              <w:rPr>
                <w:b/>
                <w:bCs/>
                <w:color w:val="00000A"/>
              </w:rPr>
              <w:t>1.NP</w:t>
            </w:r>
          </w:p>
        </w:tc>
        <w:tc>
          <w:tcPr>
            <w:tcW w:w="1920" w:type="dxa"/>
            <w:noWrap/>
            <w:hideMark/>
          </w:tcPr>
          <w:p w:rsidR="00F02FB5" w:rsidRPr="00F02FB5" w:rsidRDefault="00F02FB5" w:rsidP="00E9772A">
            <w:pPr>
              <w:pStyle w:val="Default"/>
              <w:jc w:val="both"/>
              <w:rPr>
                <w:b/>
                <w:bCs/>
                <w:color w:val="00000A"/>
              </w:rPr>
            </w:pPr>
            <w:r w:rsidRPr="00F02FB5">
              <w:rPr>
                <w:b/>
                <w:bCs/>
                <w:color w:val="00000A"/>
              </w:rPr>
              <w:t>1072,86</w:t>
            </w:r>
          </w:p>
        </w:tc>
        <w:tc>
          <w:tcPr>
            <w:tcW w:w="8240" w:type="dxa"/>
            <w:gridSpan w:val="3"/>
            <w:noWrap/>
            <w:hideMark/>
          </w:tcPr>
          <w:p w:rsidR="00F02FB5" w:rsidRPr="00F02FB5" w:rsidRDefault="00F02FB5" w:rsidP="00E9772A">
            <w:pPr>
              <w:pStyle w:val="Default"/>
              <w:jc w:val="both"/>
              <w:rPr>
                <w:color w:val="00000A"/>
              </w:rPr>
            </w:pPr>
            <w:r w:rsidRPr="00F02FB5">
              <w:rPr>
                <w:color w:val="00000A"/>
              </w:rPr>
              <w:t> </w:t>
            </w:r>
          </w:p>
        </w:tc>
      </w:tr>
      <w:tr w:rsidR="00F02FB5" w:rsidRPr="00F02FB5" w:rsidTr="00E9772A">
        <w:trPr>
          <w:trHeight w:val="630"/>
        </w:trPr>
        <w:tc>
          <w:tcPr>
            <w:tcW w:w="1920" w:type="dxa"/>
            <w:noWrap/>
            <w:hideMark/>
          </w:tcPr>
          <w:p w:rsidR="00F02FB5" w:rsidRPr="00F02FB5" w:rsidRDefault="00F02FB5" w:rsidP="00E9772A">
            <w:pPr>
              <w:pStyle w:val="Default"/>
              <w:jc w:val="both"/>
              <w:rPr>
                <w:b/>
                <w:bCs/>
                <w:color w:val="00000A"/>
              </w:rPr>
            </w:pPr>
            <w:r w:rsidRPr="00F02FB5">
              <w:rPr>
                <w:b/>
                <w:bCs/>
                <w:color w:val="00000A"/>
              </w:rPr>
              <w:t>1</w:t>
            </w:r>
          </w:p>
        </w:tc>
        <w:tc>
          <w:tcPr>
            <w:tcW w:w="1920" w:type="dxa"/>
            <w:noWrap/>
            <w:hideMark/>
          </w:tcPr>
          <w:p w:rsidR="00F02FB5" w:rsidRPr="00F02FB5" w:rsidRDefault="00F02FB5" w:rsidP="00E9772A">
            <w:pPr>
              <w:pStyle w:val="Default"/>
              <w:jc w:val="both"/>
              <w:rPr>
                <w:b/>
                <w:bCs/>
                <w:color w:val="00000A"/>
              </w:rPr>
            </w:pPr>
            <w:r w:rsidRPr="00F02FB5">
              <w:rPr>
                <w:b/>
                <w:bCs/>
                <w:color w:val="00000A"/>
              </w:rPr>
              <w:t>2.NP</w:t>
            </w:r>
          </w:p>
        </w:tc>
        <w:tc>
          <w:tcPr>
            <w:tcW w:w="1920" w:type="dxa"/>
            <w:noWrap/>
            <w:hideMark/>
          </w:tcPr>
          <w:p w:rsidR="00F02FB5" w:rsidRPr="00F02FB5" w:rsidRDefault="00F02FB5" w:rsidP="00E9772A">
            <w:pPr>
              <w:pStyle w:val="Default"/>
              <w:jc w:val="both"/>
              <w:rPr>
                <w:b/>
                <w:bCs/>
                <w:color w:val="00000A"/>
              </w:rPr>
            </w:pPr>
            <w:r w:rsidRPr="00F02FB5">
              <w:rPr>
                <w:b/>
                <w:bCs/>
                <w:color w:val="00000A"/>
              </w:rPr>
              <w:t>93,51</w:t>
            </w:r>
          </w:p>
        </w:tc>
        <w:tc>
          <w:tcPr>
            <w:tcW w:w="2280" w:type="dxa"/>
            <w:noWrap/>
            <w:hideMark/>
          </w:tcPr>
          <w:p w:rsidR="00F02FB5" w:rsidRPr="00F02FB5" w:rsidRDefault="00F02FB5" w:rsidP="00E9772A">
            <w:pPr>
              <w:pStyle w:val="Default"/>
              <w:rPr>
                <w:color w:val="00000A"/>
              </w:rPr>
            </w:pPr>
            <w:r w:rsidRPr="00F02FB5">
              <w:rPr>
                <w:color w:val="00000A"/>
              </w:rPr>
              <w:t>RAL 1015</w:t>
            </w:r>
          </w:p>
        </w:tc>
        <w:tc>
          <w:tcPr>
            <w:tcW w:w="4000" w:type="dxa"/>
            <w:noWrap/>
            <w:hideMark/>
          </w:tcPr>
          <w:p w:rsidR="00F02FB5" w:rsidRPr="00F02FB5" w:rsidRDefault="00F02FB5" w:rsidP="00E9772A">
            <w:pPr>
              <w:pStyle w:val="Default"/>
              <w:rPr>
                <w:color w:val="00000A"/>
              </w:rPr>
            </w:pPr>
            <w:r w:rsidRPr="00F02FB5">
              <w:rPr>
                <w:color w:val="00000A"/>
              </w:rPr>
              <w:t>RAL 1014/1,2m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630"/>
        </w:trPr>
        <w:tc>
          <w:tcPr>
            <w:tcW w:w="1920" w:type="dxa"/>
            <w:noWrap/>
            <w:hideMark/>
          </w:tcPr>
          <w:p w:rsidR="00F02FB5" w:rsidRPr="00F02FB5" w:rsidRDefault="00F02FB5" w:rsidP="00E9772A">
            <w:pPr>
              <w:pStyle w:val="Default"/>
              <w:jc w:val="both"/>
              <w:rPr>
                <w:b/>
                <w:bCs/>
                <w:color w:val="00000A"/>
              </w:rPr>
            </w:pPr>
            <w:r w:rsidRPr="00F02FB5">
              <w:rPr>
                <w:b/>
                <w:bCs/>
                <w:color w:val="00000A"/>
              </w:rPr>
              <w:t>6</w:t>
            </w:r>
          </w:p>
        </w:tc>
        <w:tc>
          <w:tcPr>
            <w:tcW w:w="1920" w:type="dxa"/>
            <w:noWrap/>
            <w:hideMark/>
          </w:tcPr>
          <w:p w:rsidR="00F02FB5" w:rsidRPr="00F02FB5" w:rsidRDefault="00F02FB5" w:rsidP="00E9772A">
            <w:pPr>
              <w:pStyle w:val="Default"/>
              <w:jc w:val="both"/>
              <w:rPr>
                <w:b/>
                <w:bCs/>
                <w:color w:val="00000A"/>
              </w:rPr>
            </w:pPr>
            <w:r w:rsidRPr="00F02FB5">
              <w:rPr>
                <w:b/>
                <w:bCs/>
                <w:color w:val="00000A"/>
              </w:rPr>
              <w:t>2.NP</w:t>
            </w:r>
          </w:p>
        </w:tc>
        <w:tc>
          <w:tcPr>
            <w:tcW w:w="1920" w:type="dxa"/>
            <w:noWrap/>
            <w:hideMark/>
          </w:tcPr>
          <w:p w:rsidR="00F02FB5" w:rsidRPr="00F02FB5" w:rsidRDefault="00F02FB5" w:rsidP="00E9772A">
            <w:pPr>
              <w:pStyle w:val="Default"/>
              <w:jc w:val="both"/>
              <w:rPr>
                <w:b/>
                <w:bCs/>
                <w:color w:val="00000A"/>
              </w:rPr>
            </w:pPr>
            <w:r w:rsidRPr="00F02FB5">
              <w:rPr>
                <w:b/>
                <w:bCs/>
                <w:color w:val="00000A"/>
              </w:rPr>
              <w:t>97,4</w:t>
            </w:r>
          </w:p>
        </w:tc>
        <w:tc>
          <w:tcPr>
            <w:tcW w:w="2280" w:type="dxa"/>
            <w:noWrap/>
            <w:hideMark/>
          </w:tcPr>
          <w:p w:rsidR="00F02FB5" w:rsidRPr="00F02FB5" w:rsidRDefault="00F02FB5" w:rsidP="00E9772A">
            <w:pPr>
              <w:pStyle w:val="Default"/>
              <w:rPr>
                <w:color w:val="00000A"/>
              </w:rPr>
            </w:pPr>
            <w:r w:rsidRPr="00F02FB5">
              <w:rPr>
                <w:color w:val="00000A"/>
              </w:rPr>
              <w:t>RAL 1015</w:t>
            </w:r>
          </w:p>
        </w:tc>
        <w:tc>
          <w:tcPr>
            <w:tcW w:w="4000" w:type="dxa"/>
            <w:noWrap/>
            <w:hideMark/>
          </w:tcPr>
          <w:p w:rsidR="00F02FB5" w:rsidRPr="00F02FB5" w:rsidRDefault="00F02FB5" w:rsidP="00E9772A">
            <w:pPr>
              <w:pStyle w:val="Default"/>
              <w:rPr>
                <w:color w:val="00000A"/>
              </w:rPr>
            </w:pPr>
            <w:r w:rsidRPr="00F02FB5">
              <w:rPr>
                <w:color w:val="00000A"/>
              </w:rPr>
              <w:t>RAL 1014/1,2m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630"/>
        </w:trPr>
        <w:tc>
          <w:tcPr>
            <w:tcW w:w="1920" w:type="dxa"/>
            <w:noWrap/>
            <w:hideMark/>
          </w:tcPr>
          <w:p w:rsidR="00F02FB5" w:rsidRPr="00F02FB5" w:rsidRDefault="00F02FB5" w:rsidP="00E9772A">
            <w:pPr>
              <w:pStyle w:val="Default"/>
              <w:jc w:val="both"/>
              <w:rPr>
                <w:b/>
                <w:bCs/>
                <w:color w:val="00000A"/>
              </w:rPr>
            </w:pPr>
            <w:r w:rsidRPr="00F02FB5">
              <w:rPr>
                <w:b/>
                <w:bCs/>
                <w:color w:val="00000A"/>
              </w:rPr>
              <w:t>7</w:t>
            </w:r>
          </w:p>
        </w:tc>
        <w:tc>
          <w:tcPr>
            <w:tcW w:w="1920" w:type="dxa"/>
            <w:noWrap/>
            <w:hideMark/>
          </w:tcPr>
          <w:p w:rsidR="00F02FB5" w:rsidRPr="00F02FB5" w:rsidRDefault="00F02FB5" w:rsidP="00E9772A">
            <w:pPr>
              <w:pStyle w:val="Default"/>
              <w:jc w:val="both"/>
              <w:rPr>
                <w:b/>
                <w:bCs/>
                <w:color w:val="00000A"/>
              </w:rPr>
            </w:pPr>
            <w:r w:rsidRPr="00F02FB5">
              <w:rPr>
                <w:b/>
                <w:bCs/>
                <w:color w:val="00000A"/>
              </w:rPr>
              <w:t>2.NP</w:t>
            </w:r>
          </w:p>
        </w:tc>
        <w:tc>
          <w:tcPr>
            <w:tcW w:w="1920" w:type="dxa"/>
            <w:noWrap/>
            <w:hideMark/>
          </w:tcPr>
          <w:p w:rsidR="00F02FB5" w:rsidRPr="00F02FB5" w:rsidRDefault="00F02FB5" w:rsidP="00E9772A">
            <w:pPr>
              <w:pStyle w:val="Default"/>
              <w:jc w:val="both"/>
              <w:rPr>
                <w:b/>
                <w:bCs/>
                <w:color w:val="00000A"/>
              </w:rPr>
            </w:pPr>
            <w:r w:rsidRPr="00F02FB5">
              <w:rPr>
                <w:b/>
                <w:bCs/>
                <w:color w:val="00000A"/>
              </w:rPr>
              <w:t>79,25</w:t>
            </w:r>
          </w:p>
        </w:tc>
        <w:tc>
          <w:tcPr>
            <w:tcW w:w="2280" w:type="dxa"/>
            <w:noWrap/>
            <w:hideMark/>
          </w:tcPr>
          <w:p w:rsidR="00F02FB5" w:rsidRPr="00F02FB5" w:rsidRDefault="00F02FB5" w:rsidP="00E9772A">
            <w:pPr>
              <w:pStyle w:val="Default"/>
              <w:rPr>
                <w:color w:val="00000A"/>
              </w:rPr>
            </w:pPr>
            <w:r w:rsidRPr="00F02FB5">
              <w:rPr>
                <w:color w:val="00000A"/>
              </w:rPr>
              <w:t>RAL 1015</w:t>
            </w:r>
          </w:p>
        </w:tc>
        <w:tc>
          <w:tcPr>
            <w:tcW w:w="4000" w:type="dxa"/>
            <w:noWrap/>
            <w:hideMark/>
          </w:tcPr>
          <w:p w:rsidR="00F02FB5" w:rsidRPr="00F02FB5" w:rsidRDefault="00F02FB5" w:rsidP="00E9772A">
            <w:pPr>
              <w:pStyle w:val="Default"/>
              <w:rPr>
                <w:color w:val="00000A"/>
              </w:rPr>
            </w:pPr>
            <w:r w:rsidRPr="00F02FB5">
              <w:rPr>
                <w:color w:val="00000A"/>
              </w:rPr>
              <w:t>RAL 1014/1,2m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630"/>
        </w:trPr>
        <w:tc>
          <w:tcPr>
            <w:tcW w:w="1920" w:type="dxa"/>
            <w:noWrap/>
            <w:hideMark/>
          </w:tcPr>
          <w:p w:rsidR="00F02FB5" w:rsidRPr="00F02FB5" w:rsidRDefault="00F02FB5" w:rsidP="00E9772A">
            <w:pPr>
              <w:pStyle w:val="Default"/>
              <w:jc w:val="both"/>
              <w:rPr>
                <w:b/>
                <w:bCs/>
                <w:color w:val="00000A"/>
              </w:rPr>
            </w:pPr>
            <w:r w:rsidRPr="00F02FB5">
              <w:rPr>
                <w:b/>
                <w:bCs/>
                <w:color w:val="00000A"/>
              </w:rPr>
              <w:t>8</w:t>
            </w:r>
          </w:p>
        </w:tc>
        <w:tc>
          <w:tcPr>
            <w:tcW w:w="1920" w:type="dxa"/>
            <w:noWrap/>
            <w:hideMark/>
          </w:tcPr>
          <w:p w:rsidR="00F02FB5" w:rsidRPr="00F02FB5" w:rsidRDefault="00F02FB5" w:rsidP="00E9772A">
            <w:pPr>
              <w:pStyle w:val="Default"/>
              <w:jc w:val="both"/>
              <w:rPr>
                <w:b/>
                <w:bCs/>
                <w:color w:val="00000A"/>
              </w:rPr>
            </w:pPr>
            <w:r w:rsidRPr="00F02FB5">
              <w:rPr>
                <w:b/>
                <w:bCs/>
                <w:color w:val="00000A"/>
              </w:rPr>
              <w:t>2.NP</w:t>
            </w:r>
          </w:p>
        </w:tc>
        <w:tc>
          <w:tcPr>
            <w:tcW w:w="1920" w:type="dxa"/>
            <w:noWrap/>
            <w:hideMark/>
          </w:tcPr>
          <w:p w:rsidR="00F02FB5" w:rsidRPr="00F02FB5" w:rsidRDefault="00F02FB5" w:rsidP="00E9772A">
            <w:pPr>
              <w:pStyle w:val="Default"/>
              <w:jc w:val="both"/>
              <w:rPr>
                <w:b/>
                <w:bCs/>
                <w:color w:val="00000A"/>
              </w:rPr>
            </w:pPr>
            <w:r w:rsidRPr="00F02FB5">
              <w:rPr>
                <w:b/>
                <w:bCs/>
                <w:color w:val="00000A"/>
              </w:rPr>
              <w:t>82,37</w:t>
            </w:r>
          </w:p>
        </w:tc>
        <w:tc>
          <w:tcPr>
            <w:tcW w:w="2280" w:type="dxa"/>
            <w:noWrap/>
            <w:hideMark/>
          </w:tcPr>
          <w:p w:rsidR="00F02FB5" w:rsidRPr="00F02FB5" w:rsidRDefault="00F02FB5" w:rsidP="00E9772A">
            <w:pPr>
              <w:pStyle w:val="Default"/>
              <w:rPr>
                <w:color w:val="00000A"/>
              </w:rPr>
            </w:pPr>
            <w:r w:rsidRPr="00F02FB5">
              <w:rPr>
                <w:color w:val="00000A"/>
              </w:rPr>
              <w:t>RAL 1015</w:t>
            </w:r>
          </w:p>
        </w:tc>
        <w:tc>
          <w:tcPr>
            <w:tcW w:w="4000" w:type="dxa"/>
            <w:noWrap/>
            <w:hideMark/>
          </w:tcPr>
          <w:p w:rsidR="00F02FB5" w:rsidRPr="00F02FB5" w:rsidRDefault="00F02FB5" w:rsidP="00E9772A">
            <w:pPr>
              <w:pStyle w:val="Default"/>
              <w:rPr>
                <w:color w:val="00000A"/>
              </w:rPr>
            </w:pPr>
            <w:r w:rsidRPr="00F02FB5">
              <w:rPr>
                <w:color w:val="00000A"/>
              </w:rPr>
              <w:t>RAL 1014/1,2m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630"/>
        </w:trPr>
        <w:tc>
          <w:tcPr>
            <w:tcW w:w="1920" w:type="dxa"/>
            <w:noWrap/>
            <w:hideMark/>
          </w:tcPr>
          <w:p w:rsidR="00F02FB5" w:rsidRPr="00F02FB5" w:rsidRDefault="00F02FB5" w:rsidP="00E9772A">
            <w:pPr>
              <w:pStyle w:val="Default"/>
              <w:jc w:val="both"/>
              <w:rPr>
                <w:b/>
                <w:bCs/>
                <w:color w:val="00000A"/>
              </w:rPr>
            </w:pPr>
            <w:r w:rsidRPr="00F02FB5">
              <w:rPr>
                <w:b/>
                <w:bCs/>
                <w:color w:val="00000A"/>
              </w:rPr>
              <w:t>9</w:t>
            </w:r>
          </w:p>
        </w:tc>
        <w:tc>
          <w:tcPr>
            <w:tcW w:w="1920" w:type="dxa"/>
            <w:noWrap/>
            <w:hideMark/>
          </w:tcPr>
          <w:p w:rsidR="00F02FB5" w:rsidRPr="00F02FB5" w:rsidRDefault="00F02FB5" w:rsidP="00E9772A">
            <w:pPr>
              <w:pStyle w:val="Default"/>
              <w:jc w:val="both"/>
              <w:rPr>
                <w:b/>
                <w:bCs/>
                <w:color w:val="00000A"/>
              </w:rPr>
            </w:pPr>
            <w:r w:rsidRPr="00F02FB5">
              <w:rPr>
                <w:b/>
                <w:bCs/>
                <w:color w:val="00000A"/>
              </w:rPr>
              <w:t>2.NP</w:t>
            </w:r>
          </w:p>
        </w:tc>
        <w:tc>
          <w:tcPr>
            <w:tcW w:w="1920" w:type="dxa"/>
            <w:noWrap/>
            <w:hideMark/>
          </w:tcPr>
          <w:p w:rsidR="00F02FB5" w:rsidRPr="00F02FB5" w:rsidRDefault="00F02FB5" w:rsidP="00E9772A">
            <w:pPr>
              <w:pStyle w:val="Default"/>
              <w:jc w:val="both"/>
              <w:rPr>
                <w:b/>
                <w:bCs/>
                <w:color w:val="00000A"/>
              </w:rPr>
            </w:pPr>
            <w:r w:rsidRPr="00F02FB5">
              <w:rPr>
                <w:b/>
                <w:bCs/>
                <w:color w:val="00000A"/>
              </w:rPr>
              <w:t>79,59</w:t>
            </w:r>
          </w:p>
        </w:tc>
        <w:tc>
          <w:tcPr>
            <w:tcW w:w="2280" w:type="dxa"/>
            <w:noWrap/>
            <w:hideMark/>
          </w:tcPr>
          <w:p w:rsidR="00F02FB5" w:rsidRPr="00F02FB5" w:rsidRDefault="00F02FB5" w:rsidP="00E9772A">
            <w:pPr>
              <w:pStyle w:val="Default"/>
              <w:rPr>
                <w:color w:val="00000A"/>
              </w:rPr>
            </w:pPr>
            <w:r w:rsidRPr="00F02FB5">
              <w:rPr>
                <w:color w:val="00000A"/>
              </w:rPr>
              <w:t>RAL 1015</w:t>
            </w:r>
          </w:p>
        </w:tc>
        <w:tc>
          <w:tcPr>
            <w:tcW w:w="4000" w:type="dxa"/>
            <w:noWrap/>
            <w:hideMark/>
          </w:tcPr>
          <w:p w:rsidR="00F02FB5" w:rsidRPr="00F02FB5" w:rsidRDefault="00F02FB5" w:rsidP="00E9772A">
            <w:pPr>
              <w:pStyle w:val="Default"/>
              <w:rPr>
                <w:color w:val="00000A"/>
              </w:rPr>
            </w:pPr>
            <w:r w:rsidRPr="00F02FB5">
              <w:rPr>
                <w:color w:val="00000A"/>
              </w:rPr>
              <w:t>RAL 1014/1,2m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630"/>
        </w:trPr>
        <w:tc>
          <w:tcPr>
            <w:tcW w:w="1920" w:type="dxa"/>
            <w:noWrap/>
            <w:hideMark/>
          </w:tcPr>
          <w:p w:rsidR="00F02FB5" w:rsidRPr="00F02FB5" w:rsidRDefault="00F02FB5" w:rsidP="00E9772A">
            <w:pPr>
              <w:pStyle w:val="Default"/>
              <w:jc w:val="both"/>
              <w:rPr>
                <w:b/>
                <w:bCs/>
                <w:color w:val="00000A"/>
              </w:rPr>
            </w:pPr>
            <w:r w:rsidRPr="00F02FB5">
              <w:rPr>
                <w:b/>
                <w:bCs/>
                <w:color w:val="00000A"/>
              </w:rPr>
              <w:t xml:space="preserve">Chodba </w:t>
            </w:r>
          </w:p>
        </w:tc>
        <w:tc>
          <w:tcPr>
            <w:tcW w:w="1920" w:type="dxa"/>
            <w:noWrap/>
            <w:hideMark/>
          </w:tcPr>
          <w:p w:rsidR="00F02FB5" w:rsidRPr="00F02FB5" w:rsidRDefault="00F02FB5" w:rsidP="00E9772A">
            <w:pPr>
              <w:pStyle w:val="Default"/>
              <w:jc w:val="both"/>
              <w:rPr>
                <w:b/>
                <w:bCs/>
                <w:color w:val="00000A"/>
              </w:rPr>
            </w:pPr>
            <w:r w:rsidRPr="00F02FB5">
              <w:rPr>
                <w:b/>
                <w:bCs/>
                <w:color w:val="00000A"/>
              </w:rPr>
              <w:t>2.NP</w:t>
            </w:r>
          </w:p>
        </w:tc>
        <w:tc>
          <w:tcPr>
            <w:tcW w:w="1920" w:type="dxa"/>
            <w:noWrap/>
            <w:hideMark/>
          </w:tcPr>
          <w:p w:rsidR="00F02FB5" w:rsidRPr="00F02FB5" w:rsidRDefault="00F02FB5" w:rsidP="00E9772A">
            <w:pPr>
              <w:pStyle w:val="Default"/>
              <w:jc w:val="both"/>
              <w:rPr>
                <w:b/>
                <w:bCs/>
                <w:color w:val="00000A"/>
              </w:rPr>
            </w:pPr>
            <w:r w:rsidRPr="00F02FB5">
              <w:rPr>
                <w:b/>
                <w:bCs/>
                <w:color w:val="00000A"/>
              </w:rPr>
              <w:t>294,58</w:t>
            </w:r>
          </w:p>
        </w:tc>
        <w:tc>
          <w:tcPr>
            <w:tcW w:w="2280" w:type="dxa"/>
            <w:noWrap/>
            <w:hideMark/>
          </w:tcPr>
          <w:p w:rsidR="00F02FB5" w:rsidRPr="00F02FB5" w:rsidRDefault="00F02FB5" w:rsidP="00E9772A">
            <w:pPr>
              <w:pStyle w:val="Default"/>
              <w:rPr>
                <w:color w:val="00000A"/>
              </w:rPr>
            </w:pPr>
            <w:r w:rsidRPr="00F02FB5">
              <w:rPr>
                <w:color w:val="00000A"/>
              </w:rPr>
              <w:t>RAL 1015</w:t>
            </w:r>
          </w:p>
        </w:tc>
        <w:tc>
          <w:tcPr>
            <w:tcW w:w="4000" w:type="dxa"/>
            <w:noWrap/>
            <w:hideMark/>
          </w:tcPr>
          <w:p w:rsidR="00F02FB5" w:rsidRPr="00F02FB5" w:rsidRDefault="00F02FB5" w:rsidP="00E9772A">
            <w:pPr>
              <w:pStyle w:val="Default"/>
              <w:rPr>
                <w:color w:val="00000A"/>
              </w:rPr>
            </w:pPr>
            <w:r w:rsidRPr="00F02FB5">
              <w:rPr>
                <w:color w:val="00000A"/>
              </w:rPr>
              <w:t>RAL 1014/1,2m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645"/>
        </w:trPr>
        <w:tc>
          <w:tcPr>
            <w:tcW w:w="1920" w:type="dxa"/>
            <w:noWrap/>
            <w:hideMark/>
          </w:tcPr>
          <w:p w:rsidR="00F02FB5" w:rsidRPr="00F02FB5" w:rsidRDefault="00F02FB5" w:rsidP="00E9772A">
            <w:pPr>
              <w:pStyle w:val="Default"/>
              <w:jc w:val="both"/>
              <w:rPr>
                <w:b/>
                <w:bCs/>
                <w:color w:val="00000A"/>
              </w:rPr>
            </w:pPr>
            <w:r w:rsidRPr="00F02FB5">
              <w:rPr>
                <w:b/>
                <w:bCs/>
                <w:color w:val="00000A"/>
              </w:rPr>
              <w:t>Sesterna</w:t>
            </w:r>
          </w:p>
        </w:tc>
        <w:tc>
          <w:tcPr>
            <w:tcW w:w="1920" w:type="dxa"/>
            <w:noWrap/>
            <w:hideMark/>
          </w:tcPr>
          <w:p w:rsidR="00F02FB5" w:rsidRPr="00F02FB5" w:rsidRDefault="00F02FB5" w:rsidP="00E9772A">
            <w:pPr>
              <w:pStyle w:val="Default"/>
              <w:jc w:val="both"/>
              <w:rPr>
                <w:b/>
                <w:bCs/>
                <w:color w:val="00000A"/>
              </w:rPr>
            </w:pPr>
            <w:r w:rsidRPr="00F02FB5">
              <w:rPr>
                <w:b/>
                <w:bCs/>
                <w:color w:val="00000A"/>
              </w:rPr>
              <w:t>2.NP</w:t>
            </w:r>
          </w:p>
        </w:tc>
        <w:tc>
          <w:tcPr>
            <w:tcW w:w="1920" w:type="dxa"/>
            <w:noWrap/>
            <w:hideMark/>
          </w:tcPr>
          <w:p w:rsidR="00F02FB5" w:rsidRPr="00F02FB5" w:rsidRDefault="00F02FB5" w:rsidP="00E9772A">
            <w:pPr>
              <w:pStyle w:val="Default"/>
              <w:jc w:val="both"/>
              <w:rPr>
                <w:b/>
                <w:bCs/>
                <w:color w:val="00000A"/>
              </w:rPr>
            </w:pPr>
            <w:r w:rsidRPr="00F02FB5">
              <w:rPr>
                <w:b/>
                <w:bCs/>
                <w:color w:val="00000A"/>
              </w:rPr>
              <w:t>95</w:t>
            </w:r>
          </w:p>
        </w:tc>
        <w:tc>
          <w:tcPr>
            <w:tcW w:w="2280" w:type="dxa"/>
            <w:noWrap/>
            <w:hideMark/>
          </w:tcPr>
          <w:p w:rsidR="00F02FB5" w:rsidRPr="00F02FB5" w:rsidRDefault="00F02FB5" w:rsidP="00E9772A">
            <w:pPr>
              <w:pStyle w:val="Default"/>
              <w:rPr>
                <w:color w:val="00000A"/>
              </w:rPr>
            </w:pPr>
            <w:r w:rsidRPr="00F02FB5">
              <w:rPr>
                <w:color w:val="00000A"/>
              </w:rPr>
              <w:t>RAL 1015</w:t>
            </w:r>
          </w:p>
        </w:tc>
        <w:tc>
          <w:tcPr>
            <w:tcW w:w="4000" w:type="dxa"/>
            <w:noWrap/>
            <w:hideMark/>
          </w:tcPr>
          <w:p w:rsidR="00F02FB5" w:rsidRPr="00F02FB5" w:rsidRDefault="00F02FB5" w:rsidP="00E9772A">
            <w:pPr>
              <w:pStyle w:val="Default"/>
              <w:rPr>
                <w:color w:val="00000A"/>
              </w:rPr>
            </w:pPr>
            <w:r w:rsidRPr="00F02FB5">
              <w:rPr>
                <w:color w:val="00000A"/>
              </w:rPr>
              <w:t>RAL 1014/1,2m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330"/>
        </w:trPr>
        <w:tc>
          <w:tcPr>
            <w:tcW w:w="1920" w:type="dxa"/>
            <w:noWrap/>
            <w:hideMark/>
          </w:tcPr>
          <w:p w:rsidR="00F02FB5" w:rsidRPr="00F02FB5" w:rsidRDefault="00F02FB5" w:rsidP="00E9772A">
            <w:pPr>
              <w:pStyle w:val="Default"/>
              <w:jc w:val="both"/>
              <w:rPr>
                <w:b/>
                <w:bCs/>
                <w:color w:val="00000A"/>
              </w:rPr>
            </w:pPr>
            <w:r w:rsidRPr="00F02FB5">
              <w:rPr>
                <w:b/>
                <w:bCs/>
                <w:color w:val="00000A"/>
              </w:rPr>
              <w:t>CELKEM</w:t>
            </w:r>
          </w:p>
        </w:tc>
        <w:tc>
          <w:tcPr>
            <w:tcW w:w="1920" w:type="dxa"/>
            <w:noWrap/>
            <w:hideMark/>
          </w:tcPr>
          <w:p w:rsidR="00F02FB5" w:rsidRPr="00F02FB5" w:rsidRDefault="00F02FB5" w:rsidP="00E9772A">
            <w:pPr>
              <w:pStyle w:val="Default"/>
              <w:jc w:val="both"/>
              <w:rPr>
                <w:b/>
                <w:bCs/>
                <w:color w:val="00000A"/>
              </w:rPr>
            </w:pPr>
            <w:r w:rsidRPr="00F02FB5">
              <w:rPr>
                <w:b/>
                <w:bCs/>
                <w:color w:val="00000A"/>
              </w:rPr>
              <w:t>2.NP</w:t>
            </w:r>
          </w:p>
        </w:tc>
        <w:tc>
          <w:tcPr>
            <w:tcW w:w="1920" w:type="dxa"/>
            <w:noWrap/>
            <w:hideMark/>
          </w:tcPr>
          <w:p w:rsidR="00F02FB5" w:rsidRPr="00F02FB5" w:rsidRDefault="00F02FB5" w:rsidP="00E9772A">
            <w:pPr>
              <w:pStyle w:val="Default"/>
              <w:jc w:val="both"/>
              <w:rPr>
                <w:b/>
                <w:bCs/>
                <w:color w:val="00000A"/>
              </w:rPr>
            </w:pPr>
            <w:r w:rsidRPr="00F02FB5">
              <w:rPr>
                <w:b/>
                <w:bCs/>
                <w:color w:val="00000A"/>
              </w:rPr>
              <w:t>821,7</w:t>
            </w:r>
          </w:p>
        </w:tc>
        <w:tc>
          <w:tcPr>
            <w:tcW w:w="2280" w:type="dxa"/>
            <w:noWrap/>
            <w:hideMark/>
          </w:tcPr>
          <w:p w:rsidR="00F02FB5" w:rsidRPr="00F02FB5" w:rsidRDefault="00F02FB5" w:rsidP="00E9772A">
            <w:pPr>
              <w:pStyle w:val="Default"/>
              <w:jc w:val="both"/>
              <w:rPr>
                <w:color w:val="00000A"/>
              </w:rPr>
            </w:pPr>
            <w:r w:rsidRPr="00F02FB5">
              <w:rPr>
                <w:color w:val="00000A"/>
              </w:rPr>
              <w:t> </w:t>
            </w:r>
          </w:p>
        </w:tc>
        <w:tc>
          <w:tcPr>
            <w:tcW w:w="4000" w:type="dxa"/>
            <w:noWrap/>
            <w:hideMark/>
          </w:tcPr>
          <w:p w:rsidR="00F02FB5" w:rsidRPr="00F02FB5" w:rsidRDefault="00F02FB5" w:rsidP="00E9772A">
            <w:pPr>
              <w:pStyle w:val="Default"/>
              <w:rPr>
                <w:color w:val="00000A"/>
              </w:rPr>
            </w:pPr>
            <w:r w:rsidRPr="00F02FB5">
              <w:rPr>
                <w:color w:val="00000A"/>
              </w:rPr>
              <w:t> </w:t>
            </w:r>
          </w:p>
        </w:tc>
        <w:tc>
          <w:tcPr>
            <w:tcW w:w="1960" w:type="dxa"/>
            <w:noWrap/>
            <w:hideMark/>
          </w:tcPr>
          <w:p w:rsidR="00F02FB5" w:rsidRPr="00F02FB5" w:rsidRDefault="00F02FB5" w:rsidP="00E9772A">
            <w:pPr>
              <w:pStyle w:val="Default"/>
              <w:jc w:val="both"/>
              <w:rPr>
                <w:color w:val="00000A"/>
              </w:rPr>
            </w:pPr>
            <w:r w:rsidRPr="00F02FB5">
              <w:rPr>
                <w:color w:val="00000A"/>
              </w:rPr>
              <w:t> </w:t>
            </w:r>
          </w:p>
        </w:tc>
      </w:tr>
      <w:tr w:rsidR="00F02FB5" w:rsidRPr="00F02FB5" w:rsidTr="00E9772A">
        <w:trPr>
          <w:trHeight w:val="630"/>
        </w:trPr>
        <w:tc>
          <w:tcPr>
            <w:tcW w:w="1920" w:type="dxa"/>
            <w:noWrap/>
            <w:hideMark/>
          </w:tcPr>
          <w:p w:rsidR="00F02FB5" w:rsidRPr="00F02FB5" w:rsidRDefault="00F02FB5" w:rsidP="00E9772A">
            <w:pPr>
              <w:pStyle w:val="Default"/>
              <w:jc w:val="both"/>
              <w:rPr>
                <w:b/>
                <w:bCs/>
                <w:color w:val="00000A"/>
              </w:rPr>
            </w:pPr>
            <w:r w:rsidRPr="00F02FB5">
              <w:rPr>
                <w:b/>
                <w:bCs/>
                <w:color w:val="00000A"/>
              </w:rPr>
              <w:t>1</w:t>
            </w:r>
          </w:p>
        </w:tc>
        <w:tc>
          <w:tcPr>
            <w:tcW w:w="1920" w:type="dxa"/>
            <w:noWrap/>
            <w:hideMark/>
          </w:tcPr>
          <w:p w:rsidR="00F02FB5" w:rsidRPr="00F02FB5" w:rsidRDefault="00F02FB5" w:rsidP="00E9772A">
            <w:pPr>
              <w:pStyle w:val="Default"/>
              <w:jc w:val="both"/>
              <w:rPr>
                <w:b/>
                <w:bCs/>
                <w:color w:val="00000A"/>
              </w:rPr>
            </w:pPr>
            <w:r w:rsidRPr="00F02FB5">
              <w:rPr>
                <w:b/>
                <w:bCs/>
                <w:color w:val="00000A"/>
              </w:rPr>
              <w:t>3.NP</w:t>
            </w:r>
          </w:p>
        </w:tc>
        <w:tc>
          <w:tcPr>
            <w:tcW w:w="1920" w:type="dxa"/>
            <w:noWrap/>
            <w:hideMark/>
          </w:tcPr>
          <w:p w:rsidR="00F02FB5" w:rsidRPr="00F02FB5" w:rsidRDefault="00F02FB5" w:rsidP="00E9772A">
            <w:pPr>
              <w:pStyle w:val="Default"/>
              <w:jc w:val="both"/>
              <w:rPr>
                <w:b/>
                <w:bCs/>
                <w:color w:val="00000A"/>
              </w:rPr>
            </w:pPr>
            <w:r w:rsidRPr="00F02FB5">
              <w:rPr>
                <w:b/>
                <w:bCs/>
                <w:color w:val="00000A"/>
              </w:rPr>
              <w:t>72,82</w:t>
            </w:r>
          </w:p>
        </w:tc>
        <w:tc>
          <w:tcPr>
            <w:tcW w:w="2280" w:type="dxa"/>
            <w:noWrap/>
            <w:hideMark/>
          </w:tcPr>
          <w:p w:rsidR="00F02FB5" w:rsidRPr="00F02FB5" w:rsidRDefault="00F02FB5" w:rsidP="00E9772A">
            <w:pPr>
              <w:pStyle w:val="Default"/>
              <w:rPr>
                <w:color w:val="00000A"/>
              </w:rPr>
            </w:pPr>
            <w:r w:rsidRPr="00F02FB5">
              <w:rPr>
                <w:color w:val="00000A"/>
              </w:rPr>
              <w:t>RAL 1015</w:t>
            </w:r>
          </w:p>
        </w:tc>
        <w:tc>
          <w:tcPr>
            <w:tcW w:w="4000" w:type="dxa"/>
            <w:noWrap/>
            <w:hideMark/>
          </w:tcPr>
          <w:p w:rsidR="00F02FB5" w:rsidRPr="00F02FB5" w:rsidRDefault="00F02FB5" w:rsidP="00E9772A">
            <w:pPr>
              <w:pStyle w:val="Default"/>
              <w:rPr>
                <w:color w:val="00000A"/>
              </w:rPr>
            </w:pPr>
            <w:r w:rsidRPr="00F02FB5">
              <w:rPr>
                <w:color w:val="00000A"/>
              </w:rPr>
              <w:t>1034/1,2m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630"/>
        </w:trPr>
        <w:tc>
          <w:tcPr>
            <w:tcW w:w="1920" w:type="dxa"/>
            <w:noWrap/>
            <w:hideMark/>
          </w:tcPr>
          <w:p w:rsidR="00F02FB5" w:rsidRPr="00F02FB5" w:rsidRDefault="00F02FB5" w:rsidP="00E9772A">
            <w:pPr>
              <w:pStyle w:val="Default"/>
              <w:jc w:val="both"/>
              <w:rPr>
                <w:b/>
                <w:bCs/>
                <w:color w:val="00000A"/>
              </w:rPr>
            </w:pPr>
            <w:r w:rsidRPr="00F02FB5">
              <w:rPr>
                <w:b/>
                <w:bCs/>
                <w:color w:val="00000A"/>
              </w:rPr>
              <w:t>2</w:t>
            </w:r>
          </w:p>
        </w:tc>
        <w:tc>
          <w:tcPr>
            <w:tcW w:w="1920" w:type="dxa"/>
            <w:noWrap/>
            <w:hideMark/>
          </w:tcPr>
          <w:p w:rsidR="00F02FB5" w:rsidRPr="00F02FB5" w:rsidRDefault="00F02FB5" w:rsidP="00E9772A">
            <w:pPr>
              <w:pStyle w:val="Default"/>
              <w:jc w:val="both"/>
              <w:rPr>
                <w:b/>
                <w:bCs/>
                <w:color w:val="00000A"/>
              </w:rPr>
            </w:pPr>
            <w:r w:rsidRPr="00F02FB5">
              <w:rPr>
                <w:b/>
                <w:bCs/>
                <w:color w:val="00000A"/>
              </w:rPr>
              <w:t>3.NP</w:t>
            </w:r>
          </w:p>
        </w:tc>
        <w:tc>
          <w:tcPr>
            <w:tcW w:w="1920" w:type="dxa"/>
            <w:noWrap/>
            <w:hideMark/>
          </w:tcPr>
          <w:p w:rsidR="00F02FB5" w:rsidRPr="00F02FB5" w:rsidRDefault="00F02FB5" w:rsidP="00E9772A">
            <w:pPr>
              <w:pStyle w:val="Default"/>
              <w:jc w:val="both"/>
              <w:rPr>
                <w:b/>
                <w:bCs/>
                <w:color w:val="00000A"/>
              </w:rPr>
            </w:pPr>
            <w:r w:rsidRPr="00F02FB5">
              <w:rPr>
                <w:b/>
                <w:bCs/>
                <w:color w:val="00000A"/>
              </w:rPr>
              <w:t>92,32</w:t>
            </w:r>
          </w:p>
        </w:tc>
        <w:tc>
          <w:tcPr>
            <w:tcW w:w="2280" w:type="dxa"/>
            <w:noWrap/>
            <w:hideMark/>
          </w:tcPr>
          <w:p w:rsidR="00F02FB5" w:rsidRPr="00F02FB5" w:rsidRDefault="00F02FB5" w:rsidP="00E9772A">
            <w:pPr>
              <w:pStyle w:val="Default"/>
              <w:rPr>
                <w:color w:val="00000A"/>
              </w:rPr>
            </w:pPr>
            <w:r w:rsidRPr="00F02FB5">
              <w:rPr>
                <w:color w:val="00000A"/>
              </w:rPr>
              <w:t>RAL 1015</w:t>
            </w:r>
          </w:p>
        </w:tc>
        <w:tc>
          <w:tcPr>
            <w:tcW w:w="4000" w:type="dxa"/>
            <w:noWrap/>
            <w:hideMark/>
          </w:tcPr>
          <w:p w:rsidR="00F02FB5" w:rsidRPr="00F02FB5" w:rsidRDefault="00F02FB5" w:rsidP="00E9772A">
            <w:pPr>
              <w:pStyle w:val="Default"/>
              <w:rPr>
                <w:color w:val="00000A"/>
              </w:rPr>
            </w:pPr>
            <w:r w:rsidRPr="00F02FB5">
              <w:rPr>
                <w:color w:val="00000A"/>
              </w:rPr>
              <w:t>1034/1,2m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630"/>
        </w:trPr>
        <w:tc>
          <w:tcPr>
            <w:tcW w:w="1920" w:type="dxa"/>
            <w:noWrap/>
            <w:hideMark/>
          </w:tcPr>
          <w:p w:rsidR="00F02FB5" w:rsidRPr="00F02FB5" w:rsidRDefault="00F02FB5" w:rsidP="00E9772A">
            <w:pPr>
              <w:pStyle w:val="Default"/>
              <w:jc w:val="both"/>
              <w:rPr>
                <w:b/>
                <w:bCs/>
                <w:color w:val="00000A"/>
              </w:rPr>
            </w:pPr>
            <w:r w:rsidRPr="00F02FB5">
              <w:rPr>
                <w:b/>
                <w:bCs/>
                <w:color w:val="00000A"/>
              </w:rPr>
              <w:t>3</w:t>
            </w:r>
          </w:p>
        </w:tc>
        <w:tc>
          <w:tcPr>
            <w:tcW w:w="1920" w:type="dxa"/>
            <w:noWrap/>
            <w:hideMark/>
          </w:tcPr>
          <w:p w:rsidR="00F02FB5" w:rsidRPr="00F02FB5" w:rsidRDefault="00F02FB5" w:rsidP="00E9772A">
            <w:pPr>
              <w:pStyle w:val="Default"/>
              <w:jc w:val="both"/>
              <w:rPr>
                <w:b/>
                <w:bCs/>
                <w:color w:val="00000A"/>
              </w:rPr>
            </w:pPr>
            <w:r w:rsidRPr="00F02FB5">
              <w:rPr>
                <w:b/>
                <w:bCs/>
                <w:color w:val="00000A"/>
              </w:rPr>
              <w:t>3.NP</w:t>
            </w:r>
          </w:p>
        </w:tc>
        <w:tc>
          <w:tcPr>
            <w:tcW w:w="1920" w:type="dxa"/>
            <w:noWrap/>
            <w:hideMark/>
          </w:tcPr>
          <w:p w:rsidR="00F02FB5" w:rsidRPr="00F02FB5" w:rsidRDefault="00F02FB5" w:rsidP="00E9772A">
            <w:pPr>
              <w:pStyle w:val="Default"/>
              <w:jc w:val="both"/>
              <w:rPr>
                <w:b/>
                <w:bCs/>
                <w:color w:val="00000A"/>
              </w:rPr>
            </w:pPr>
            <w:r w:rsidRPr="00F02FB5">
              <w:rPr>
                <w:b/>
                <w:bCs/>
                <w:color w:val="00000A"/>
              </w:rPr>
              <w:t>94,05</w:t>
            </w:r>
          </w:p>
        </w:tc>
        <w:tc>
          <w:tcPr>
            <w:tcW w:w="2280" w:type="dxa"/>
            <w:noWrap/>
            <w:hideMark/>
          </w:tcPr>
          <w:p w:rsidR="00F02FB5" w:rsidRPr="00F02FB5" w:rsidRDefault="00F02FB5" w:rsidP="00E9772A">
            <w:pPr>
              <w:pStyle w:val="Default"/>
              <w:rPr>
                <w:color w:val="00000A"/>
              </w:rPr>
            </w:pPr>
            <w:r w:rsidRPr="00F02FB5">
              <w:rPr>
                <w:color w:val="00000A"/>
              </w:rPr>
              <w:t>RAL 1015</w:t>
            </w:r>
          </w:p>
        </w:tc>
        <w:tc>
          <w:tcPr>
            <w:tcW w:w="4000" w:type="dxa"/>
            <w:noWrap/>
            <w:hideMark/>
          </w:tcPr>
          <w:p w:rsidR="00F02FB5" w:rsidRPr="00F02FB5" w:rsidRDefault="00F02FB5" w:rsidP="00E9772A">
            <w:pPr>
              <w:pStyle w:val="Default"/>
              <w:rPr>
                <w:color w:val="00000A"/>
              </w:rPr>
            </w:pPr>
            <w:r w:rsidRPr="00F02FB5">
              <w:rPr>
                <w:color w:val="00000A"/>
              </w:rPr>
              <w:t>1034/1,2m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630"/>
        </w:trPr>
        <w:tc>
          <w:tcPr>
            <w:tcW w:w="1920" w:type="dxa"/>
            <w:noWrap/>
            <w:hideMark/>
          </w:tcPr>
          <w:p w:rsidR="00F02FB5" w:rsidRPr="00F02FB5" w:rsidRDefault="00F02FB5" w:rsidP="00E9772A">
            <w:pPr>
              <w:pStyle w:val="Default"/>
              <w:jc w:val="both"/>
              <w:rPr>
                <w:b/>
                <w:bCs/>
                <w:color w:val="00000A"/>
              </w:rPr>
            </w:pPr>
            <w:r w:rsidRPr="00F02FB5">
              <w:rPr>
                <w:b/>
                <w:bCs/>
                <w:color w:val="00000A"/>
              </w:rPr>
              <w:t>4</w:t>
            </w:r>
          </w:p>
        </w:tc>
        <w:tc>
          <w:tcPr>
            <w:tcW w:w="1920" w:type="dxa"/>
            <w:noWrap/>
            <w:hideMark/>
          </w:tcPr>
          <w:p w:rsidR="00F02FB5" w:rsidRPr="00F02FB5" w:rsidRDefault="00F02FB5" w:rsidP="00E9772A">
            <w:pPr>
              <w:pStyle w:val="Default"/>
              <w:jc w:val="both"/>
              <w:rPr>
                <w:b/>
                <w:bCs/>
                <w:color w:val="00000A"/>
              </w:rPr>
            </w:pPr>
            <w:r w:rsidRPr="00F02FB5">
              <w:rPr>
                <w:b/>
                <w:bCs/>
                <w:color w:val="00000A"/>
              </w:rPr>
              <w:t>3.NP</w:t>
            </w:r>
          </w:p>
        </w:tc>
        <w:tc>
          <w:tcPr>
            <w:tcW w:w="1920" w:type="dxa"/>
            <w:noWrap/>
            <w:hideMark/>
          </w:tcPr>
          <w:p w:rsidR="00F02FB5" w:rsidRPr="00F02FB5" w:rsidRDefault="00F02FB5" w:rsidP="00E9772A">
            <w:pPr>
              <w:pStyle w:val="Default"/>
              <w:jc w:val="both"/>
              <w:rPr>
                <w:b/>
                <w:bCs/>
                <w:color w:val="00000A"/>
              </w:rPr>
            </w:pPr>
            <w:r w:rsidRPr="00F02FB5">
              <w:rPr>
                <w:b/>
                <w:bCs/>
                <w:color w:val="00000A"/>
              </w:rPr>
              <w:t>94,08</w:t>
            </w:r>
          </w:p>
        </w:tc>
        <w:tc>
          <w:tcPr>
            <w:tcW w:w="2280" w:type="dxa"/>
            <w:noWrap/>
            <w:hideMark/>
          </w:tcPr>
          <w:p w:rsidR="00F02FB5" w:rsidRPr="00F02FB5" w:rsidRDefault="00F02FB5" w:rsidP="00E9772A">
            <w:pPr>
              <w:pStyle w:val="Default"/>
              <w:rPr>
                <w:color w:val="00000A"/>
              </w:rPr>
            </w:pPr>
            <w:r w:rsidRPr="00F02FB5">
              <w:rPr>
                <w:color w:val="00000A"/>
              </w:rPr>
              <w:t>RAL 1015</w:t>
            </w:r>
          </w:p>
        </w:tc>
        <w:tc>
          <w:tcPr>
            <w:tcW w:w="4000" w:type="dxa"/>
            <w:noWrap/>
            <w:hideMark/>
          </w:tcPr>
          <w:p w:rsidR="00F02FB5" w:rsidRPr="00F02FB5" w:rsidRDefault="00F02FB5" w:rsidP="00E9772A">
            <w:pPr>
              <w:pStyle w:val="Default"/>
              <w:rPr>
                <w:color w:val="00000A"/>
              </w:rPr>
            </w:pPr>
            <w:r w:rsidRPr="00F02FB5">
              <w:rPr>
                <w:color w:val="00000A"/>
              </w:rPr>
              <w:t>1034/1,2m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630"/>
        </w:trPr>
        <w:tc>
          <w:tcPr>
            <w:tcW w:w="1920" w:type="dxa"/>
            <w:noWrap/>
            <w:hideMark/>
          </w:tcPr>
          <w:p w:rsidR="00F02FB5" w:rsidRPr="00F02FB5" w:rsidRDefault="00F02FB5" w:rsidP="00E9772A">
            <w:pPr>
              <w:pStyle w:val="Default"/>
              <w:jc w:val="both"/>
              <w:rPr>
                <w:b/>
                <w:bCs/>
                <w:color w:val="00000A"/>
              </w:rPr>
            </w:pPr>
            <w:r w:rsidRPr="00F02FB5">
              <w:rPr>
                <w:b/>
                <w:bCs/>
                <w:color w:val="00000A"/>
              </w:rPr>
              <w:lastRenderedPageBreak/>
              <w:t>5</w:t>
            </w:r>
          </w:p>
        </w:tc>
        <w:tc>
          <w:tcPr>
            <w:tcW w:w="1920" w:type="dxa"/>
            <w:noWrap/>
            <w:hideMark/>
          </w:tcPr>
          <w:p w:rsidR="00F02FB5" w:rsidRPr="00F02FB5" w:rsidRDefault="00F02FB5" w:rsidP="00E9772A">
            <w:pPr>
              <w:pStyle w:val="Default"/>
              <w:jc w:val="both"/>
              <w:rPr>
                <w:b/>
                <w:bCs/>
                <w:color w:val="00000A"/>
              </w:rPr>
            </w:pPr>
            <w:r w:rsidRPr="00F02FB5">
              <w:rPr>
                <w:b/>
                <w:bCs/>
                <w:color w:val="00000A"/>
              </w:rPr>
              <w:t>3.NP</w:t>
            </w:r>
          </w:p>
        </w:tc>
        <w:tc>
          <w:tcPr>
            <w:tcW w:w="1920" w:type="dxa"/>
            <w:noWrap/>
            <w:hideMark/>
          </w:tcPr>
          <w:p w:rsidR="00F02FB5" w:rsidRPr="00F02FB5" w:rsidRDefault="00F02FB5" w:rsidP="00E9772A">
            <w:pPr>
              <w:pStyle w:val="Default"/>
              <w:jc w:val="both"/>
              <w:rPr>
                <w:b/>
                <w:bCs/>
                <w:color w:val="00000A"/>
              </w:rPr>
            </w:pPr>
            <w:r w:rsidRPr="00F02FB5">
              <w:rPr>
                <w:b/>
                <w:bCs/>
                <w:color w:val="00000A"/>
              </w:rPr>
              <w:t>92,73</w:t>
            </w:r>
          </w:p>
        </w:tc>
        <w:tc>
          <w:tcPr>
            <w:tcW w:w="2280" w:type="dxa"/>
            <w:noWrap/>
            <w:hideMark/>
          </w:tcPr>
          <w:p w:rsidR="00F02FB5" w:rsidRPr="00F02FB5" w:rsidRDefault="00F02FB5" w:rsidP="00E9772A">
            <w:pPr>
              <w:pStyle w:val="Default"/>
              <w:rPr>
                <w:color w:val="00000A"/>
              </w:rPr>
            </w:pPr>
            <w:r w:rsidRPr="00F02FB5">
              <w:rPr>
                <w:color w:val="00000A"/>
              </w:rPr>
              <w:t>RAL 1015</w:t>
            </w:r>
          </w:p>
        </w:tc>
        <w:tc>
          <w:tcPr>
            <w:tcW w:w="4000" w:type="dxa"/>
            <w:noWrap/>
            <w:hideMark/>
          </w:tcPr>
          <w:p w:rsidR="00F02FB5" w:rsidRPr="00F02FB5" w:rsidRDefault="00F02FB5" w:rsidP="00E9772A">
            <w:pPr>
              <w:pStyle w:val="Default"/>
              <w:rPr>
                <w:color w:val="00000A"/>
              </w:rPr>
            </w:pPr>
            <w:r w:rsidRPr="00F02FB5">
              <w:rPr>
                <w:color w:val="00000A"/>
              </w:rPr>
              <w:t>1034/1,2m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630"/>
        </w:trPr>
        <w:tc>
          <w:tcPr>
            <w:tcW w:w="1920" w:type="dxa"/>
            <w:noWrap/>
            <w:hideMark/>
          </w:tcPr>
          <w:p w:rsidR="00F02FB5" w:rsidRPr="00F02FB5" w:rsidRDefault="00F02FB5" w:rsidP="00E9772A">
            <w:pPr>
              <w:pStyle w:val="Default"/>
              <w:jc w:val="both"/>
              <w:rPr>
                <w:b/>
                <w:bCs/>
                <w:color w:val="00000A"/>
              </w:rPr>
            </w:pPr>
            <w:r w:rsidRPr="00F02FB5">
              <w:rPr>
                <w:b/>
                <w:bCs/>
                <w:color w:val="00000A"/>
              </w:rPr>
              <w:t>7</w:t>
            </w:r>
          </w:p>
        </w:tc>
        <w:tc>
          <w:tcPr>
            <w:tcW w:w="1920" w:type="dxa"/>
            <w:noWrap/>
            <w:hideMark/>
          </w:tcPr>
          <w:p w:rsidR="00F02FB5" w:rsidRPr="00F02FB5" w:rsidRDefault="00F02FB5" w:rsidP="00E9772A">
            <w:pPr>
              <w:pStyle w:val="Default"/>
              <w:jc w:val="both"/>
              <w:rPr>
                <w:b/>
                <w:bCs/>
                <w:color w:val="00000A"/>
              </w:rPr>
            </w:pPr>
            <w:r w:rsidRPr="00F02FB5">
              <w:rPr>
                <w:b/>
                <w:bCs/>
                <w:color w:val="00000A"/>
              </w:rPr>
              <w:t>3.NP</w:t>
            </w:r>
          </w:p>
        </w:tc>
        <w:tc>
          <w:tcPr>
            <w:tcW w:w="1920" w:type="dxa"/>
            <w:noWrap/>
            <w:hideMark/>
          </w:tcPr>
          <w:p w:rsidR="00F02FB5" w:rsidRPr="00F02FB5" w:rsidRDefault="00F02FB5" w:rsidP="00E9772A">
            <w:pPr>
              <w:pStyle w:val="Default"/>
              <w:jc w:val="both"/>
              <w:rPr>
                <w:b/>
                <w:bCs/>
                <w:color w:val="00000A"/>
              </w:rPr>
            </w:pPr>
            <w:r w:rsidRPr="00F02FB5">
              <w:rPr>
                <w:b/>
                <w:bCs/>
                <w:color w:val="00000A"/>
              </w:rPr>
              <w:t>102,39</w:t>
            </w:r>
          </w:p>
        </w:tc>
        <w:tc>
          <w:tcPr>
            <w:tcW w:w="2280" w:type="dxa"/>
            <w:noWrap/>
            <w:hideMark/>
          </w:tcPr>
          <w:p w:rsidR="00F02FB5" w:rsidRPr="00F02FB5" w:rsidRDefault="00F02FB5" w:rsidP="00E9772A">
            <w:pPr>
              <w:pStyle w:val="Default"/>
              <w:rPr>
                <w:color w:val="00000A"/>
              </w:rPr>
            </w:pPr>
            <w:r w:rsidRPr="00F02FB5">
              <w:rPr>
                <w:color w:val="00000A"/>
              </w:rPr>
              <w:t>RAL 1015</w:t>
            </w:r>
          </w:p>
        </w:tc>
        <w:tc>
          <w:tcPr>
            <w:tcW w:w="4000" w:type="dxa"/>
            <w:noWrap/>
            <w:hideMark/>
          </w:tcPr>
          <w:p w:rsidR="00F02FB5" w:rsidRPr="00F02FB5" w:rsidRDefault="00F02FB5" w:rsidP="00E9772A">
            <w:pPr>
              <w:pStyle w:val="Default"/>
              <w:rPr>
                <w:color w:val="00000A"/>
              </w:rPr>
            </w:pPr>
            <w:r w:rsidRPr="00F02FB5">
              <w:rPr>
                <w:color w:val="00000A"/>
              </w:rPr>
              <w:t>1034/1,2m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630"/>
        </w:trPr>
        <w:tc>
          <w:tcPr>
            <w:tcW w:w="1920" w:type="dxa"/>
            <w:noWrap/>
            <w:hideMark/>
          </w:tcPr>
          <w:p w:rsidR="00F02FB5" w:rsidRPr="00F02FB5" w:rsidRDefault="00F02FB5" w:rsidP="00E9772A">
            <w:pPr>
              <w:pStyle w:val="Default"/>
              <w:jc w:val="both"/>
              <w:rPr>
                <w:b/>
                <w:bCs/>
                <w:color w:val="00000A"/>
              </w:rPr>
            </w:pPr>
            <w:r w:rsidRPr="00F02FB5">
              <w:rPr>
                <w:b/>
                <w:bCs/>
                <w:color w:val="00000A"/>
              </w:rPr>
              <w:t>Sesterna</w:t>
            </w:r>
          </w:p>
        </w:tc>
        <w:tc>
          <w:tcPr>
            <w:tcW w:w="1920" w:type="dxa"/>
            <w:noWrap/>
            <w:hideMark/>
          </w:tcPr>
          <w:p w:rsidR="00F02FB5" w:rsidRPr="00F02FB5" w:rsidRDefault="00F02FB5" w:rsidP="00E9772A">
            <w:pPr>
              <w:pStyle w:val="Default"/>
              <w:jc w:val="both"/>
              <w:rPr>
                <w:b/>
                <w:bCs/>
                <w:color w:val="00000A"/>
              </w:rPr>
            </w:pPr>
            <w:r w:rsidRPr="00F02FB5">
              <w:rPr>
                <w:b/>
                <w:bCs/>
                <w:color w:val="00000A"/>
              </w:rPr>
              <w:t>3.NP</w:t>
            </w:r>
          </w:p>
        </w:tc>
        <w:tc>
          <w:tcPr>
            <w:tcW w:w="1920" w:type="dxa"/>
            <w:noWrap/>
            <w:hideMark/>
          </w:tcPr>
          <w:p w:rsidR="00F02FB5" w:rsidRPr="00F02FB5" w:rsidRDefault="00F02FB5" w:rsidP="00E9772A">
            <w:pPr>
              <w:pStyle w:val="Default"/>
              <w:jc w:val="both"/>
              <w:rPr>
                <w:b/>
                <w:bCs/>
                <w:color w:val="00000A"/>
              </w:rPr>
            </w:pPr>
            <w:r w:rsidRPr="00F02FB5">
              <w:rPr>
                <w:b/>
                <w:bCs/>
                <w:color w:val="00000A"/>
              </w:rPr>
              <w:t>93,1</w:t>
            </w:r>
          </w:p>
        </w:tc>
        <w:tc>
          <w:tcPr>
            <w:tcW w:w="2280" w:type="dxa"/>
            <w:noWrap/>
            <w:hideMark/>
          </w:tcPr>
          <w:p w:rsidR="00F02FB5" w:rsidRPr="00F02FB5" w:rsidRDefault="00F02FB5" w:rsidP="00E9772A">
            <w:pPr>
              <w:pStyle w:val="Default"/>
              <w:rPr>
                <w:color w:val="00000A"/>
              </w:rPr>
            </w:pPr>
            <w:r w:rsidRPr="00F02FB5">
              <w:rPr>
                <w:color w:val="00000A"/>
              </w:rPr>
              <w:t>RAL 1015</w:t>
            </w:r>
          </w:p>
        </w:tc>
        <w:tc>
          <w:tcPr>
            <w:tcW w:w="4000" w:type="dxa"/>
            <w:noWrap/>
            <w:hideMark/>
          </w:tcPr>
          <w:p w:rsidR="00F02FB5" w:rsidRPr="00F02FB5" w:rsidRDefault="00F02FB5" w:rsidP="00E9772A">
            <w:pPr>
              <w:pStyle w:val="Default"/>
              <w:rPr>
                <w:color w:val="00000A"/>
              </w:rPr>
            </w:pPr>
            <w:r w:rsidRPr="00F02FB5">
              <w:rPr>
                <w:color w:val="00000A"/>
              </w:rPr>
              <w:t>1034/1,2m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645"/>
        </w:trPr>
        <w:tc>
          <w:tcPr>
            <w:tcW w:w="1920" w:type="dxa"/>
            <w:noWrap/>
            <w:hideMark/>
          </w:tcPr>
          <w:p w:rsidR="00F02FB5" w:rsidRPr="00F02FB5" w:rsidRDefault="00F02FB5" w:rsidP="00E9772A">
            <w:pPr>
              <w:pStyle w:val="Default"/>
              <w:jc w:val="both"/>
              <w:rPr>
                <w:b/>
                <w:bCs/>
                <w:color w:val="00000A"/>
              </w:rPr>
            </w:pPr>
            <w:r w:rsidRPr="00F02FB5">
              <w:rPr>
                <w:b/>
                <w:bCs/>
                <w:color w:val="00000A"/>
              </w:rPr>
              <w:t>Chodba</w:t>
            </w:r>
          </w:p>
        </w:tc>
        <w:tc>
          <w:tcPr>
            <w:tcW w:w="1920" w:type="dxa"/>
            <w:noWrap/>
            <w:hideMark/>
          </w:tcPr>
          <w:p w:rsidR="00F02FB5" w:rsidRPr="00F02FB5" w:rsidRDefault="00F02FB5" w:rsidP="00E9772A">
            <w:pPr>
              <w:pStyle w:val="Default"/>
              <w:jc w:val="both"/>
              <w:rPr>
                <w:b/>
                <w:bCs/>
                <w:color w:val="00000A"/>
              </w:rPr>
            </w:pPr>
            <w:r w:rsidRPr="00F02FB5">
              <w:rPr>
                <w:b/>
                <w:bCs/>
                <w:color w:val="00000A"/>
              </w:rPr>
              <w:t>3.NP</w:t>
            </w:r>
          </w:p>
        </w:tc>
        <w:tc>
          <w:tcPr>
            <w:tcW w:w="1920" w:type="dxa"/>
            <w:noWrap/>
            <w:hideMark/>
          </w:tcPr>
          <w:p w:rsidR="00F02FB5" w:rsidRPr="00F02FB5" w:rsidRDefault="00F02FB5" w:rsidP="00E9772A">
            <w:pPr>
              <w:pStyle w:val="Default"/>
              <w:jc w:val="both"/>
              <w:rPr>
                <w:b/>
                <w:bCs/>
                <w:color w:val="00000A"/>
              </w:rPr>
            </w:pPr>
            <w:r w:rsidRPr="00F02FB5">
              <w:rPr>
                <w:b/>
                <w:bCs/>
                <w:color w:val="00000A"/>
              </w:rPr>
              <w:t>286,1</w:t>
            </w:r>
          </w:p>
        </w:tc>
        <w:tc>
          <w:tcPr>
            <w:tcW w:w="2280" w:type="dxa"/>
            <w:noWrap/>
            <w:hideMark/>
          </w:tcPr>
          <w:p w:rsidR="00F02FB5" w:rsidRPr="00F02FB5" w:rsidRDefault="00F02FB5" w:rsidP="00E9772A">
            <w:pPr>
              <w:pStyle w:val="Default"/>
              <w:rPr>
                <w:color w:val="00000A"/>
              </w:rPr>
            </w:pPr>
            <w:r w:rsidRPr="00F02FB5">
              <w:rPr>
                <w:color w:val="00000A"/>
              </w:rPr>
              <w:t>RAL 1015</w:t>
            </w:r>
          </w:p>
        </w:tc>
        <w:tc>
          <w:tcPr>
            <w:tcW w:w="4000" w:type="dxa"/>
            <w:noWrap/>
            <w:hideMark/>
          </w:tcPr>
          <w:p w:rsidR="00F02FB5" w:rsidRPr="00F02FB5" w:rsidRDefault="00F02FB5" w:rsidP="00E9772A">
            <w:pPr>
              <w:pStyle w:val="Default"/>
              <w:rPr>
                <w:color w:val="00000A"/>
              </w:rPr>
            </w:pPr>
            <w:r w:rsidRPr="00F02FB5">
              <w:rPr>
                <w:color w:val="00000A"/>
              </w:rPr>
              <w:t>1034/1,2m</w:t>
            </w:r>
          </w:p>
        </w:tc>
        <w:tc>
          <w:tcPr>
            <w:tcW w:w="1960" w:type="dxa"/>
            <w:noWrap/>
            <w:hideMark/>
          </w:tcPr>
          <w:p w:rsidR="00F02FB5" w:rsidRPr="00F02FB5" w:rsidRDefault="00F02FB5" w:rsidP="00E9772A">
            <w:pPr>
              <w:pStyle w:val="Default"/>
              <w:rPr>
                <w:color w:val="00000A"/>
              </w:rPr>
            </w:pPr>
            <w:r w:rsidRPr="00F02FB5">
              <w:rPr>
                <w:color w:val="00000A"/>
              </w:rPr>
              <w:t>strop bílý RAL 9016</w:t>
            </w:r>
          </w:p>
        </w:tc>
      </w:tr>
      <w:tr w:rsidR="00F02FB5" w:rsidRPr="00F02FB5" w:rsidTr="00E9772A">
        <w:trPr>
          <w:trHeight w:val="330"/>
        </w:trPr>
        <w:tc>
          <w:tcPr>
            <w:tcW w:w="1920" w:type="dxa"/>
            <w:noWrap/>
            <w:hideMark/>
          </w:tcPr>
          <w:p w:rsidR="00F02FB5" w:rsidRPr="00F02FB5" w:rsidRDefault="00F02FB5" w:rsidP="00E9772A">
            <w:pPr>
              <w:pStyle w:val="Default"/>
              <w:jc w:val="both"/>
              <w:rPr>
                <w:b/>
                <w:bCs/>
                <w:color w:val="00000A"/>
              </w:rPr>
            </w:pPr>
            <w:r w:rsidRPr="00F02FB5">
              <w:rPr>
                <w:b/>
                <w:bCs/>
                <w:color w:val="00000A"/>
              </w:rPr>
              <w:t>CELKEM</w:t>
            </w:r>
          </w:p>
        </w:tc>
        <w:tc>
          <w:tcPr>
            <w:tcW w:w="1920" w:type="dxa"/>
            <w:noWrap/>
            <w:hideMark/>
          </w:tcPr>
          <w:p w:rsidR="00F02FB5" w:rsidRPr="00F02FB5" w:rsidRDefault="00F02FB5" w:rsidP="00E9772A">
            <w:pPr>
              <w:pStyle w:val="Default"/>
              <w:jc w:val="both"/>
              <w:rPr>
                <w:b/>
                <w:bCs/>
                <w:color w:val="00000A"/>
              </w:rPr>
            </w:pPr>
            <w:r w:rsidRPr="00F02FB5">
              <w:rPr>
                <w:b/>
                <w:bCs/>
                <w:color w:val="00000A"/>
              </w:rPr>
              <w:t>3.NP</w:t>
            </w:r>
          </w:p>
        </w:tc>
        <w:tc>
          <w:tcPr>
            <w:tcW w:w="1920" w:type="dxa"/>
            <w:noWrap/>
            <w:hideMark/>
          </w:tcPr>
          <w:p w:rsidR="00F02FB5" w:rsidRPr="00F02FB5" w:rsidRDefault="00F02FB5" w:rsidP="00E9772A">
            <w:pPr>
              <w:pStyle w:val="Default"/>
              <w:jc w:val="both"/>
              <w:rPr>
                <w:b/>
                <w:bCs/>
                <w:color w:val="00000A"/>
              </w:rPr>
            </w:pPr>
            <w:r w:rsidRPr="00F02FB5">
              <w:rPr>
                <w:b/>
                <w:bCs/>
                <w:color w:val="00000A"/>
              </w:rPr>
              <w:t>927,59</w:t>
            </w:r>
          </w:p>
        </w:tc>
        <w:tc>
          <w:tcPr>
            <w:tcW w:w="8240" w:type="dxa"/>
            <w:gridSpan w:val="3"/>
            <w:noWrap/>
            <w:hideMark/>
          </w:tcPr>
          <w:p w:rsidR="00F02FB5" w:rsidRPr="00F02FB5" w:rsidRDefault="00F02FB5" w:rsidP="00E9772A">
            <w:pPr>
              <w:pStyle w:val="Default"/>
              <w:jc w:val="both"/>
              <w:rPr>
                <w:color w:val="00000A"/>
              </w:rPr>
            </w:pPr>
            <w:r w:rsidRPr="00F02FB5">
              <w:rPr>
                <w:color w:val="00000A"/>
              </w:rPr>
              <w:t> </w:t>
            </w:r>
          </w:p>
        </w:tc>
      </w:tr>
      <w:tr w:rsidR="00F02FB5" w:rsidRPr="00F02FB5" w:rsidTr="00E9772A">
        <w:trPr>
          <w:trHeight w:val="315"/>
        </w:trPr>
        <w:tc>
          <w:tcPr>
            <w:tcW w:w="1920" w:type="dxa"/>
            <w:noWrap/>
            <w:hideMark/>
          </w:tcPr>
          <w:p w:rsidR="00F02FB5" w:rsidRPr="00F02FB5" w:rsidRDefault="00F02FB5" w:rsidP="00E9772A">
            <w:pPr>
              <w:pStyle w:val="Default"/>
              <w:jc w:val="both"/>
              <w:rPr>
                <w:b/>
                <w:bCs/>
                <w:color w:val="00000A"/>
              </w:rPr>
            </w:pPr>
            <w:r w:rsidRPr="00F02FB5">
              <w:rPr>
                <w:b/>
                <w:bCs/>
                <w:color w:val="00000A"/>
              </w:rPr>
              <w:t>Mandlovna</w:t>
            </w:r>
          </w:p>
        </w:tc>
        <w:tc>
          <w:tcPr>
            <w:tcW w:w="1920" w:type="dxa"/>
            <w:noWrap/>
            <w:hideMark/>
          </w:tcPr>
          <w:p w:rsidR="00F02FB5" w:rsidRPr="00F02FB5" w:rsidRDefault="00F02FB5" w:rsidP="00E9772A">
            <w:pPr>
              <w:pStyle w:val="Default"/>
              <w:jc w:val="both"/>
              <w:rPr>
                <w:b/>
                <w:bCs/>
                <w:color w:val="00000A"/>
              </w:rPr>
            </w:pPr>
            <w:r w:rsidRPr="00F02FB5">
              <w:rPr>
                <w:b/>
                <w:bCs/>
                <w:color w:val="00000A"/>
              </w:rPr>
              <w:t>1.PP</w:t>
            </w:r>
          </w:p>
        </w:tc>
        <w:tc>
          <w:tcPr>
            <w:tcW w:w="1920" w:type="dxa"/>
            <w:noWrap/>
            <w:hideMark/>
          </w:tcPr>
          <w:p w:rsidR="00F02FB5" w:rsidRPr="00F02FB5" w:rsidRDefault="00F02FB5" w:rsidP="00E9772A">
            <w:pPr>
              <w:pStyle w:val="Default"/>
              <w:jc w:val="both"/>
              <w:rPr>
                <w:b/>
                <w:bCs/>
                <w:color w:val="00000A"/>
              </w:rPr>
            </w:pPr>
            <w:r w:rsidRPr="00F02FB5">
              <w:rPr>
                <w:b/>
                <w:bCs/>
                <w:color w:val="00000A"/>
              </w:rPr>
              <w:t>94,9</w:t>
            </w:r>
          </w:p>
        </w:tc>
        <w:tc>
          <w:tcPr>
            <w:tcW w:w="2280" w:type="dxa"/>
            <w:noWrap/>
            <w:hideMark/>
          </w:tcPr>
          <w:p w:rsidR="00F02FB5" w:rsidRPr="00F02FB5" w:rsidRDefault="00F02FB5" w:rsidP="00E9772A">
            <w:pPr>
              <w:pStyle w:val="Default"/>
              <w:rPr>
                <w:color w:val="00000A"/>
              </w:rPr>
            </w:pPr>
            <w:r w:rsidRPr="00F02FB5">
              <w:rPr>
                <w:color w:val="00000A"/>
              </w:rPr>
              <w:t>bílá RAL 9016</w:t>
            </w:r>
          </w:p>
        </w:tc>
        <w:tc>
          <w:tcPr>
            <w:tcW w:w="4000" w:type="dxa"/>
            <w:noWrap/>
            <w:hideMark/>
          </w:tcPr>
          <w:p w:rsidR="00F02FB5" w:rsidRPr="00F02FB5" w:rsidRDefault="00F02FB5" w:rsidP="00E9772A">
            <w:pPr>
              <w:pStyle w:val="Default"/>
              <w:rPr>
                <w:color w:val="00000A"/>
              </w:rPr>
            </w:pPr>
            <w:r w:rsidRPr="00F02FB5">
              <w:rPr>
                <w:color w:val="00000A"/>
              </w:rPr>
              <w:t> </w:t>
            </w:r>
          </w:p>
        </w:tc>
        <w:tc>
          <w:tcPr>
            <w:tcW w:w="1960" w:type="dxa"/>
            <w:noWrap/>
            <w:hideMark/>
          </w:tcPr>
          <w:p w:rsidR="00F02FB5" w:rsidRPr="00F02FB5" w:rsidRDefault="00F02FB5" w:rsidP="00E9772A">
            <w:pPr>
              <w:pStyle w:val="Default"/>
              <w:rPr>
                <w:color w:val="00000A"/>
              </w:rPr>
            </w:pPr>
            <w:r w:rsidRPr="00F02FB5">
              <w:rPr>
                <w:color w:val="00000A"/>
              </w:rPr>
              <w:t> </w:t>
            </w:r>
          </w:p>
        </w:tc>
      </w:tr>
      <w:tr w:rsidR="00F02FB5" w:rsidRPr="00F02FB5" w:rsidTr="00E9772A">
        <w:trPr>
          <w:trHeight w:val="315"/>
        </w:trPr>
        <w:tc>
          <w:tcPr>
            <w:tcW w:w="1920" w:type="dxa"/>
            <w:noWrap/>
            <w:hideMark/>
          </w:tcPr>
          <w:p w:rsidR="00F02FB5" w:rsidRPr="00F02FB5" w:rsidRDefault="00F02FB5" w:rsidP="00E9772A">
            <w:pPr>
              <w:pStyle w:val="Default"/>
              <w:jc w:val="both"/>
              <w:rPr>
                <w:b/>
                <w:bCs/>
                <w:color w:val="00000A"/>
              </w:rPr>
            </w:pPr>
            <w:r w:rsidRPr="00F02FB5">
              <w:rPr>
                <w:b/>
                <w:bCs/>
                <w:color w:val="00000A"/>
              </w:rPr>
              <w:t>Prádelna</w:t>
            </w:r>
          </w:p>
        </w:tc>
        <w:tc>
          <w:tcPr>
            <w:tcW w:w="1920" w:type="dxa"/>
            <w:noWrap/>
            <w:hideMark/>
          </w:tcPr>
          <w:p w:rsidR="00F02FB5" w:rsidRPr="00F02FB5" w:rsidRDefault="00F02FB5" w:rsidP="00E9772A">
            <w:pPr>
              <w:pStyle w:val="Default"/>
              <w:jc w:val="both"/>
              <w:rPr>
                <w:b/>
                <w:bCs/>
                <w:color w:val="00000A"/>
              </w:rPr>
            </w:pPr>
            <w:r w:rsidRPr="00F02FB5">
              <w:rPr>
                <w:b/>
                <w:bCs/>
                <w:color w:val="00000A"/>
              </w:rPr>
              <w:t>1.PP</w:t>
            </w:r>
          </w:p>
        </w:tc>
        <w:tc>
          <w:tcPr>
            <w:tcW w:w="1920" w:type="dxa"/>
            <w:noWrap/>
            <w:hideMark/>
          </w:tcPr>
          <w:p w:rsidR="00F02FB5" w:rsidRPr="00F02FB5" w:rsidRDefault="00F02FB5" w:rsidP="00E9772A">
            <w:pPr>
              <w:pStyle w:val="Default"/>
              <w:jc w:val="both"/>
              <w:rPr>
                <w:b/>
                <w:bCs/>
                <w:color w:val="00000A"/>
              </w:rPr>
            </w:pPr>
            <w:r w:rsidRPr="00F02FB5">
              <w:rPr>
                <w:b/>
                <w:bCs/>
                <w:color w:val="00000A"/>
              </w:rPr>
              <w:t>80</w:t>
            </w:r>
          </w:p>
        </w:tc>
        <w:tc>
          <w:tcPr>
            <w:tcW w:w="2280" w:type="dxa"/>
            <w:noWrap/>
            <w:hideMark/>
          </w:tcPr>
          <w:p w:rsidR="00F02FB5" w:rsidRPr="00F02FB5" w:rsidRDefault="00F02FB5" w:rsidP="00E9772A">
            <w:pPr>
              <w:pStyle w:val="Default"/>
              <w:rPr>
                <w:color w:val="00000A"/>
              </w:rPr>
            </w:pPr>
            <w:r w:rsidRPr="00F02FB5">
              <w:rPr>
                <w:color w:val="00000A"/>
              </w:rPr>
              <w:t>bílá RAL 9016</w:t>
            </w:r>
          </w:p>
        </w:tc>
        <w:tc>
          <w:tcPr>
            <w:tcW w:w="4000" w:type="dxa"/>
            <w:noWrap/>
            <w:hideMark/>
          </w:tcPr>
          <w:p w:rsidR="00F02FB5" w:rsidRPr="00F02FB5" w:rsidRDefault="00F02FB5" w:rsidP="00E9772A">
            <w:pPr>
              <w:pStyle w:val="Default"/>
              <w:rPr>
                <w:color w:val="00000A"/>
              </w:rPr>
            </w:pPr>
            <w:r w:rsidRPr="00F02FB5">
              <w:rPr>
                <w:color w:val="00000A"/>
              </w:rPr>
              <w:t> </w:t>
            </w:r>
          </w:p>
        </w:tc>
        <w:tc>
          <w:tcPr>
            <w:tcW w:w="1960" w:type="dxa"/>
            <w:noWrap/>
            <w:hideMark/>
          </w:tcPr>
          <w:p w:rsidR="00F02FB5" w:rsidRPr="00F02FB5" w:rsidRDefault="00F02FB5" w:rsidP="00E9772A">
            <w:pPr>
              <w:pStyle w:val="Default"/>
              <w:rPr>
                <w:color w:val="00000A"/>
              </w:rPr>
            </w:pPr>
            <w:r w:rsidRPr="00F02FB5">
              <w:rPr>
                <w:color w:val="00000A"/>
              </w:rPr>
              <w:t> </w:t>
            </w:r>
          </w:p>
        </w:tc>
      </w:tr>
      <w:tr w:rsidR="00F02FB5" w:rsidRPr="00F02FB5" w:rsidTr="00E9772A">
        <w:trPr>
          <w:trHeight w:val="330"/>
        </w:trPr>
        <w:tc>
          <w:tcPr>
            <w:tcW w:w="1920" w:type="dxa"/>
            <w:noWrap/>
            <w:hideMark/>
          </w:tcPr>
          <w:p w:rsidR="00F02FB5" w:rsidRPr="00F02FB5" w:rsidRDefault="00F02FB5" w:rsidP="00E9772A">
            <w:pPr>
              <w:pStyle w:val="Default"/>
              <w:jc w:val="both"/>
              <w:rPr>
                <w:b/>
                <w:bCs/>
                <w:color w:val="00000A"/>
              </w:rPr>
            </w:pPr>
            <w:r w:rsidRPr="00F02FB5">
              <w:rPr>
                <w:b/>
                <w:bCs/>
                <w:color w:val="00000A"/>
              </w:rPr>
              <w:t>Chodba</w:t>
            </w:r>
          </w:p>
        </w:tc>
        <w:tc>
          <w:tcPr>
            <w:tcW w:w="1920" w:type="dxa"/>
            <w:noWrap/>
            <w:hideMark/>
          </w:tcPr>
          <w:p w:rsidR="00F02FB5" w:rsidRPr="00F02FB5" w:rsidRDefault="00F02FB5" w:rsidP="00E9772A">
            <w:pPr>
              <w:pStyle w:val="Default"/>
              <w:jc w:val="both"/>
              <w:rPr>
                <w:b/>
                <w:bCs/>
                <w:color w:val="00000A"/>
              </w:rPr>
            </w:pPr>
            <w:r w:rsidRPr="00F02FB5">
              <w:rPr>
                <w:b/>
                <w:bCs/>
                <w:color w:val="00000A"/>
              </w:rPr>
              <w:t>1.PP</w:t>
            </w:r>
          </w:p>
        </w:tc>
        <w:tc>
          <w:tcPr>
            <w:tcW w:w="1920" w:type="dxa"/>
            <w:noWrap/>
            <w:hideMark/>
          </w:tcPr>
          <w:p w:rsidR="00F02FB5" w:rsidRPr="00F02FB5" w:rsidRDefault="00F02FB5" w:rsidP="00E9772A">
            <w:pPr>
              <w:pStyle w:val="Default"/>
              <w:jc w:val="both"/>
              <w:rPr>
                <w:b/>
                <w:bCs/>
                <w:color w:val="00000A"/>
              </w:rPr>
            </w:pPr>
            <w:r w:rsidRPr="00F02FB5">
              <w:rPr>
                <w:b/>
                <w:bCs/>
                <w:color w:val="00000A"/>
              </w:rPr>
              <w:t>390,66</w:t>
            </w:r>
          </w:p>
        </w:tc>
        <w:tc>
          <w:tcPr>
            <w:tcW w:w="2280" w:type="dxa"/>
            <w:noWrap/>
            <w:hideMark/>
          </w:tcPr>
          <w:p w:rsidR="00F02FB5" w:rsidRPr="00F02FB5" w:rsidRDefault="00F02FB5" w:rsidP="00E9772A">
            <w:pPr>
              <w:pStyle w:val="Default"/>
              <w:rPr>
                <w:color w:val="00000A"/>
              </w:rPr>
            </w:pPr>
            <w:r w:rsidRPr="00F02FB5">
              <w:rPr>
                <w:color w:val="00000A"/>
              </w:rPr>
              <w:t>bílá RAL 9016</w:t>
            </w:r>
          </w:p>
        </w:tc>
        <w:tc>
          <w:tcPr>
            <w:tcW w:w="4000" w:type="dxa"/>
            <w:noWrap/>
            <w:hideMark/>
          </w:tcPr>
          <w:p w:rsidR="00F02FB5" w:rsidRPr="00F02FB5" w:rsidRDefault="00F02FB5" w:rsidP="00E9772A">
            <w:pPr>
              <w:pStyle w:val="Default"/>
              <w:rPr>
                <w:color w:val="00000A"/>
              </w:rPr>
            </w:pPr>
            <w:r w:rsidRPr="00F02FB5">
              <w:rPr>
                <w:color w:val="00000A"/>
              </w:rPr>
              <w:t> </w:t>
            </w:r>
          </w:p>
        </w:tc>
        <w:tc>
          <w:tcPr>
            <w:tcW w:w="1960" w:type="dxa"/>
            <w:noWrap/>
            <w:hideMark/>
          </w:tcPr>
          <w:p w:rsidR="00F02FB5" w:rsidRPr="00F02FB5" w:rsidRDefault="00F02FB5" w:rsidP="00E9772A">
            <w:pPr>
              <w:pStyle w:val="Default"/>
              <w:rPr>
                <w:color w:val="00000A"/>
              </w:rPr>
            </w:pPr>
            <w:r w:rsidRPr="00F02FB5">
              <w:rPr>
                <w:color w:val="00000A"/>
              </w:rPr>
              <w:t> </w:t>
            </w:r>
          </w:p>
        </w:tc>
      </w:tr>
      <w:tr w:rsidR="00F02FB5" w:rsidRPr="00F02FB5" w:rsidTr="00E9772A">
        <w:trPr>
          <w:trHeight w:val="330"/>
        </w:trPr>
        <w:tc>
          <w:tcPr>
            <w:tcW w:w="1920" w:type="dxa"/>
            <w:noWrap/>
            <w:hideMark/>
          </w:tcPr>
          <w:p w:rsidR="00F02FB5" w:rsidRPr="00F02FB5" w:rsidRDefault="00F02FB5" w:rsidP="00E9772A">
            <w:pPr>
              <w:pStyle w:val="Default"/>
              <w:jc w:val="both"/>
              <w:rPr>
                <w:b/>
                <w:bCs/>
                <w:color w:val="00000A"/>
              </w:rPr>
            </w:pPr>
            <w:r w:rsidRPr="00F02FB5">
              <w:rPr>
                <w:b/>
                <w:bCs/>
                <w:color w:val="00000A"/>
              </w:rPr>
              <w:t>CELKEM</w:t>
            </w:r>
          </w:p>
        </w:tc>
        <w:tc>
          <w:tcPr>
            <w:tcW w:w="1920" w:type="dxa"/>
            <w:noWrap/>
            <w:hideMark/>
          </w:tcPr>
          <w:p w:rsidR="00F02FB5" w:rsidRPr="00F02FB5" w:rsidRDefault="00F02FB5" w:rsidP="00E9772A">
            <w:pPr>
              <w:pStyle w:val="Default"/>
              <w:jc w:val="both"/>
              <w:rPr>
                <w:b/>
                <w:bCs/>
                <w:color w:val="00000A"/>
              </w:rPr>
            </w:pPr>
            <w:r w:rsidRPr="00F02FB5">
              <w:rPr>
                <w:b/>
                <w:bCs/>
                <w:color w:val="00000A"/>
              </w:rPr>
              <w:t>1.PP</w:t>
            </w:r>
          </w:p>
        </w:tc>
        <w:tc>
          <w:tcPr>
            <w:tcW w:w="1920" w:type="dxa"/>
            <w:noWrap/>
            <w:hideMark/>
          </w:tcPr>
          <w:p w:rsidR="00F02FB5" w:rsidRPr="00F02FB5" w:rsidRDefault="00F02FB5" w:rsidP="00E9772A">
            <w:pPr>
              <w:pStyle w:val="Default"/>
              <w:jc w:val="both"/>
              <w:rPr>
                <w:b/>
                <w:bCs/>
                <w:color w:val="00000A"/>
              </w:rPr>
            </w:pPr>
            <w:r w:rsidRPr="00F02FB5">
              <w:rPr>
                <w:b/>
                <w:bCs/>
                <w:color w:val="00000A"/>
              </w:rPr>
              <w:t>565,56</w:t>
            </w:r>
          </w:p>
        </w:tc>
        <w:tc>
          <w:tcPr>
            <w:tcW w:w="8240" w:type="dxa"/>
            <w:gridSpan w:val="3"/>
            <w:noWrap/>
            <w:hideMark/>
          </w:tcPr>
          <w:p w:rsidR="00F02FB5" w:rsidRPr="00F02FB5" w:rsidRDefault="00F02FB5" w:rsidP="00E9772A">
            <w:pPr>
              <w:pStyle w:val="Default"/>
              <w:jc w:val="both"/>
              <w:rPr>
                <w:color w:val="00000A"/>
              </w:rPr>
            </w:pPr>
            <w:r w:rsidRPr="00F02FB5">
              <w:rPr>
                <w:color w:val="00000A"/>
              </w:rPr>
              <w:t> </w:t>
            </w:r>
          </w:p>
        </w:tc>
      </w:tr>
      <w:tr w:rsidR="00F02FB5" w:rsidRPr="00F02FB5" w:rsidTr="00E9772A">
        <w:trPr>
          <w:trHeight w:val="517"/>
        </w:trPr>
        <w:tc>
          <w:tcPr>
            <w:tcW w:w="3840" w:type="dxa"/>
            <w:gridSpan w:val="2"/>
            <w:vMerge w:val="restart"/>
            <w:hideMark/>
          </w:tcPr>
          <w:p w:rsidR="00F02FB5" w:rsidRPr="00F02FB5" w:rsidRDefault="00F02FB5" w:rsidP="00E9772A">
            <w:pPr>
              <w:pStyle w:val="Default"/>
              <w:jc w:val="both"/>
              <w:rPr>
                <w:b/>
                <w:bCs/>
                <w:color w:val="00000A"/>
              </w:rPr>
            </w:pPr>
            <w:r w:rsidRPr="00F02FB5">
              <w:rPr>
                <w:b/>
                <w:bCs/>
                <w:color w:val="00000A"/>
              </w:rPr>
              <w:t>CELKEM BUDOVA m</w:t>
            </w:r>
            <w:r w:rsidRPr="00F02FB5">
              <w:rPr>
                <w:b/>
                <w:bCs/>
                <w:color w:val="00000A"/>
                <w:vertAlign w:val="superscript"/>
              </w:rPr>
              <w:t>2</w:t>
            </w:r>
          </w:p>
        </w:tc>
        <w:tc>
          <w:tcPr>
            <w:tcW w:w="1920" w:type="dxa"/>
            <w:vMerge w:val="restart"/>
            <w:noWrap/>
            <w:hideMark/>
          </w:tcPr>
          <w:p w:rsidR="00F02FB5" w:rsidRPr="00F02FB5" w:rsidRDefault="00F02FB5" w:rsidP="00E9772A">
            <w:pPr>
              <w:pStyle w:val="Default"/>
              <w:jc w:val="both"/>
              <w:rPr>
                <w:b/>
                <w:bCs/>
                <w:color w:val="00000A"/>
              </w:rPr>
            </w:pPr>
            <w:r w:rsidRPr="00F02FB5">
              <w:rPr>
                <w:b/>
                <w:bCs/>
                <w:color w:val="00000A"/>
              </w:rPr>
              <w:t>3387,71</w:t>
            </w:r>
          </w:p>
        </w:tc>
        <w:tc>
          <w:tcPr>
            <w:tcW w:w="8240" w:type="dxa"/>
            <w:gridSpan w:val="3"/>
            <w:vMerge w:val="restart"/>
            <w:noWrap/>
            <w:hideMark/>
          </w:tcPr>
          <w:p w:rsidR="00F02FB5" w:rsidRPr="00F02FB5" w:rsidRDefault="00F02FB5" w:rsidP="00E9772A">
            <w:pPr>
              <w:pStyle w:val="Default"/>
              <w:jc w:val="both"/>
              <w:rPr>
                <w:color w:val="00000A"/>
              </w:rPr>
            </w:pPr>
            <w:r w:rsidRPr="00F02FB5">
              <w:rPr>
                <w:color w:val="00000A"/>
              </w:rPr>
              <w:t> </w:t>
            </w:r>
          </w:p>
        </w:tc>
      </w:tr>
      <w:tr w:rsidR="00F02FB5" w:rsidRPr="00F02FB5" w:rsidTr="00E9772A">
        <w:trPr>
          <w:trHeight w:val="517"/>
        </w:trPr>
        <w:tc>
          <w:tcPr>
            <w:tcW w:w="3840" w:type="dxa"/>
            <w:gridSpan w:val="2"/>
            <w:vMerge/>
            <w:hideMark/>
          </w:tcPr>
          <w:p w:rsidR="00F02FB5" w:rsidRPr="00F02FB5" w:rsidRDefault="00F02FB5" w:rsidP="00E9772A">
            <w:pPr>
              <w:pStyle w:val="Default"/>
              <w:jc w:val="both"/>
              <w:rPr>
                <w:b/>
                <w:bCs/>
                <w:color w:val="00000A"/>
              </w:rPr>
            </w:pPr>
          </w:p>
        </w:tc>
        <w:tc>
          <w:tcPr>
            <w:tcW w:w="1920" w:type="dxa"/>
            <w:vMerge/>
            <w:hideMark/>
          </w:tcPr>
          <w:p w:rsidR="00F02FB5" w:rsidRPr="00F02FB5" w:rsidRDefault="00F02FB5" w:rsidP="00E9772A">
            <w:pPr>
              <w:pStyle w:val="Default"/>
              <w:jc w:val="both"/>
              <w:rPr>
                <w:b/>
                <w:bCs/>
                <w:color w:val="00000A"/>
              </w:rPr>
            </w:pPr>
          </w:p>
        </w:tc>
        <w:tc>
          <w:tcPr>
            <w:tcW w:w="8240" w:type="dxa"/>
            <w:gridSpan w:val="3"/>
            <w:vMerge/>
            <w:hideMark/>
          </w:tcPr>
          <w:p w:rsidR="00F02FB5" w:rsidRPr="00F02FB5" w:rsidRDefault="00F02FB5" w:rsidP="00E9772A">
            <w:pPr>
              <w:pStyle w:val="Default"/>
              <w:jc w:val="both"/>
              <w:rPr>
                <w:color w:val="00000A"/>
              </w:rPr>
            </w:pPr>
          </w:p>
        </w:tc>
      </w:tr>
    </w:tbl>
    <w:p w:rsidR="00F02FB5" w:rsidRPr="00F02FB5" w:rsidRDefault="00F02FB5" w:rsidP="00F02FB5">
      <w:pPr>
        <w:pStyle w:val="Default"/>
        <w:jc w:val="both"/>
        <w:rPr>
          <w:color w:val="00000A"/>
        </w:rPr>
      </w:pPr>
    </w:p>
    <w:p w:rsidR="00F02FB5" w:rsidRPr="00F02FB5" w:rsidRDefault="00F02FB5" w:rsidP="00F02FB5">
      <w:pPr>
        <w:pStyle w:val="Default"/>
        <w:numPr>
          <w:ilvl w:val="0"/>
          <w:numId w:val="42"/>
        </w:numPr>
        <w:jc w:val="both"/>
        <w:rPr>
          <w:b/>
          <w:bCs/>
        </w:rPr>
      </w:pPr>
      <w:r w:rsidRPr="00F02FB5">
        <w:rPr>
          <w:b/>
          <w:bCs/>
        </w:rPr>
        <w:t>Rozsah prací:</w:t>
      </w:r>
    </w:p>
    <w:p w:rsidR="00F02FB5" w:rsidRPr="00F02FB5" w:rsidRDefault="00F02FB5" w:rsidP="00F02FB5">
      <w:pPr>
        <w:pStyle w:val="Default"/>
        <w:numPr>
          <w:ilvl w:val="0"/>
          <w:numId w:val="41"/>
        </w:numPr>
        <w:rPr>
          <w:color w:val="00000A"/>
        </w:rPr>
      </w:pPr>
      <w:r w:rsidRPr="00F02FB5">
        <w:rPr>
          <w:color w:val="00000A"/>
        </w:rPr>
        <w:t>odstranění starých maleb, obroušení, oškrábání, mytí</w:t>
      </w:r>
    </w:p>
    <w:p w:rsidR="00F02FB5" w:rsidRPr="00F02FB5" w:rsidRDefault="00F02FB5" w:rsidP="00F02FB5">
      <w:pPr>
        <w:pStyle w:val="Default"/>
        <w:numPr>
          <w:ilvl w:val="0"/>
          <w:numId w:val="41"/>
        </w:numPr>
        <w:rPr>
          <w:color w:val="00000A"/>
        </w:rPr>
      </w:pPr>
      <w:r w:rsidRPr="00F02FB5">
        <w:rPr>
          <w:color w:val="00000A"/>
        </w:rPr>
        <w:t>hloubková penetrace omítek,</w:t>
      </w:r>
    </w:p>
    <w:p w:rsidR="00F02FB5" w:rsidRPr="00F02FB5" w:rsidRDefault="00F02FB5" w:rsidP="00F02FB5">
      <w:pPr>
        <w:pStyle w:val="Default"/>
        <w:numPr>
          <w:ilvl w:val="0"/>
          <w:numId w:val="41"/>
        </w:numPr>
        <w:rPr>
          <w:color w:val="00000A"/>
        </w:rPr>
      </w:pPr>
      <w:r w:rsidRPr="00F02FB5">
        <w:rPr>
          <w:color w:val="00000A"/>
        </w:rPr>
        <w:t>zednické opravy jádrové omítky,</w:t>
      </w:r>
    </w:p>
    <w:p w:rsidR="00F02FB5" w:rsidRPr="00F02FB5" w:rsidRDefault="00F02FB5" w:rsidP="00F02FB5">
      <w:pPr>
        <w:pStyle w:val="Default"/>
        <w:numPr>
          <w:ilvl w:val="0"/>
          <w:numId w:val="41"/>
        </w:numPr>
        <w:rPr>
          <w:color w:val="00000A"/>
        </w:rPr>
      </w:pPr>
      <w:r w:rsidRPr="00F02FB5">
        <w:rPr>
          <w:color w:val="00000A"/>
        </w:rPr>
        <w:t>štukování omítky,</w:t>
      </w:r>
    </w:p>
    <w:p w:rsidR="00F02FB5" w:rsidRPr="00F02FB5" w:rsidRDefault="00F02FB5" w:rsidP="00F02FB5">
      <w:pPr>
        <w:pStyle w:val="Default"/>
        <w:numPr>
          <w:ilvl w:val="0"/>
          <w:numId w:val="41"/>
        </w:numPr>
        <w:rPr>
          <w:color w:val="00000A"/>
        </w:rPr>
      </w:pPr>
      <w:r w:rsidRPr="00F02FB5">
        <w:rPr>
          <w:color w:val="00000A"/>
        </w:rPr>
        <w:t>opravy omítek</w:t>
      </w:r>
    </w:p>
    <w:p w:rsidR="00F02FB5" w:rsidRPr="00F02FB5" w:rsidRDefault="00F02FB5" w:rsidP="00F02FB5">
      <w:pPr>
        <w:pStyle w:val="Default"/>
        <w:numPr>
          <w:ilvl w:val="0"/>
          <w:numId w:val="41"/>
        </w:numPr>
        <w:rPr>
          <w:color w:val="00000A"/>
        </w:rPr>
      </w:pPr>
      <w:r w:rsidRPr="00F02FB5">
        <w:rPr>
          <w:color w:val="00000A"/>
        </w:rPr>
        <w:t>izolace proteklin,</w:t>
      </w:r>
    </w:p>
    <w:p w:rsidR="00F02FB5" w:rsidRPr="00F02FB5" w:rsidRDefault="00F02FB5" w:rsidP="00F02FB5">
      <w:pPr>
        <w:pStyle w:val="Default"/>
        <w:numPr>
          <w:ilvl w:val="0"/>
          <w:numId w:val="41"/>
        </w:numPr>
        <w:rPr>
          <w:color w:val="00000A"/>
        </w:rPr>
      </w:pPr>
      <w:r w:rsidRPr="00F02FB5">
        <w:rPr>
          <w:color w:val="00000A"/>
        </w:rPr>
        <w:t>malby bílé,</w:t>
      </w:r>
    </w:p>
    <w:p w:rsidR="00F02FB5" w:rsidRPr="00F02FB5" w:rsidRDefault="00F02FB5" w:rsidP="00F02FB5">
      <w:pPr>
        <w:pStyle w:val="Default"/>
        <w:numPr>
          <w:ilvl w:val="0"/>
          <w:numId w:val="41"/>
        </w:numPr>
        <w:rPr>
          <w:color w:val="00000A"/>
        </w:rPr>
      </w:pPr>
      <w:r w:rsidRPr="00F02FB5">
        <w:rPr>
          <w:color w:val="00000A"/>
        </w:rPr>
        <w:t>malby tónované,</w:t>
      </w:r>
    </w:p>
    <w:p w:rsidR="00F02FB5" w:rsidRPr="00F02FB5" w:rsidRDefault="00F02FB5" w:rsidP="00F02FB5">
      <w:pPr>
        <w:pStyle w:val="Default"/>
        <w:numPr>
          <w:ilvl w:val="0"/>
          <w:numId w:val="41"/>
        </w:numPr>
        <w:rPr>
          <w:color w:val="00000A"/>
        </w:rPr>
      </w:pPr>
      <w:r w:rsidRPr="00F02FB5">
        <w:rPr>
          <w:color w:val="00000A"/>
        </w:rPr>
        <w:t>nátěry soklů a linkrust,</w:t>
      </w:r>
    </w:p>
    <w:p w:rsidR="00F02FB5" w:rsidRPr="00F02FB5" w:rsidRDefault="00F02FB5" w:rsidP="00F02FB5">
      <w:pPr>
        <w:pStyle w:val="Default"/>
        <w:numPr>
          <w:ilvl w:val="0"/>
          <w:numId w:val="41"/>
        </w:numPr>
        <w:rPr>
          <w:color w:val="00000A"/>
        </w:rPr>
      </w:pPr>
      <w:r w:rsidRPr="00F02FB5">
        <w:rPr>
          <w:color w:val="00000A"/>
        </w:rPr>
        <w:t>opravy linkrusty,</w:t>
      </w:r>
    </w:p>
    <w:p w:rsidR="00F02FB5" w:rsidRPr="00F02FB5" w:rsidRDefault="00F02FB5" w:rsidP="00F02FB5">
      <w:pPr>
        <w:pStyle w:val="Default"/>
        <w:numPr>
          <w:ilvl w:val="0"/>
          <w:numId w:val="41"/>
        </w:numPr>
        <w:rPr>
          <w:color w:val="00000A"/>
        </w:rPr>
      </w:pPr>
      <w:r w:rsidRPr="00F02FB5">
        <w:rPr>
          <w:color w:val="00000A"/>
        </w:rPr>
        <w:t>zakrývání pokojů, místností a chodeb před malováním,</w:t>
      </w:r>
    </w:p>
    <w:p w:rsidR="00F02FB5" w:rsidRPr="00F02FB5" w:rsidRDefault="00F02FB5" w:rsidP="00F02FB5">
      <w:pPr>
        <w:pStyle w:val="Default"/>
        <w:numPr>
          <w:ilvl w:val="0"/>
          <w:numId w:val="41"/>
        </w:numPr>
        <w:rPr>
          <w:color w:val="00000A"/>
        </w:rPr>
      </w:pPr>
      <w:r w:rsidRPr="00F02FB5">
        <w:rPr>
          <w:color w:val="00000A"/>
        </w:rPr>
        <w:t>stěhování nábytku v rámci místnosti,</w:t>
      </w:r>
    </w:p>
    <w:p w:rsidR="00F02FB5" w:rsidRPr="00F02FB5" w:rsidRDefault="00F02FB5" w:rsidP="00F02FB5">
      <w:pPr>
        <w:pStyle w:val="Default"/>
        <w:numPr>
          <w:ilvl w:val="0"/>
          <w:numId w:val="41"/>
        </w:numPr>
        <w:rPr>
          <w:color w:val="00000A"/>
        </w:rPr>
      </w:pPr>
      <w:r w:rsidRPr="00F02FB5">
        <w:rPr>
          <w:color w:val="00000A"/>
        </w:rPr>
        <w:t>doprava a přesuny hmot,</w:t>
      </w:r>
    </w:p>
    <w:p w:rsidR="00F02FB5" w:rsidRPr="00F02FB5" w:rsidRDefault="00F02FB5" w:rsidP="00F02FB5">
      <w:pPr>
        <w:pStyle w:val="Default"/>
        <w:numPr>
          <w:ilvl w:val="0"/>
          <w:numId w:val="41"/>
        </w:numPr>
        <w:rPr>
          <w:color w:val="00000A"/>
        </w:rPr>
      </w:pPr>
      <w:r w:rsidRPr="00F02FB5">
        <w:rPr>
          <w:color w:val="00000A"/>
        </w:rPr>
        <w:t>likvidaci odpadů,</w:t>
      </w:r>
    </w:p>
    <w:p w:rsidR="00F02FB5" w:rsidRPr="00F02FB5" w:rsidRDefault="00F02FB5" w:rsidP="00F02FB5">
      <w:pPr>
        <w:pStyle w:val="Default"/>
        <w:numPr>
          <w:ilvl w:val="0"/>
          <w:numId w:val="41"/>
        </w:numPr>
        <w:rPr>
          <w:color w:val="00000A"/>
        </w:rPr>
      </w:pPr>
      <w:r w:rsidRPr="00F02FB5">
        <w:rPr>
          <w:color w:val="00000A"/>
        </w:rPr>
        <w:t>průběžný hrubý úklid pomalování,</w:t>
      </w:r>
    </w:p>
    <w:p w:rsidR="00F02FB5" w:rsidRPr="00F02FB5" w:rsidRDefault="00F02FB5" w:rsidP="00F02FB5">
      <w:pPr>
        <w:pStyle w:val="Default"/>
        <w:ind w:left="720"/>
        <w:rPr>
          <w:color w:val="00000A"/>
        </w:rPr>
      </w:pPr>
    </w:p>
    <w:p w:rsidR="00F02FB5" w:rsidRDefault="00F02FB5" w:rsidP="00F02FB5">
      <w:pPr>
        <w:pStyle w:val="Default"/>
        <w:ind w:left="720"/>
        <w:rPr>
          <w:b/>
          <w:bCs/>
          <w:color w:val="00000A"/>
        </w:rPr>
      </w:pPr>
      <w:r w:rsidRPr="00F02FB5">
        <w:rPr>
          <w:b/>
          <w:bCs/>
          <w:color w:val="00000A"/>
        </w:rPr>
        <w:t>to vše za plného provozu Domova pro seniory a v maximální součinnosti s určenými pracovníky Domova.</w:t>
      </w:r>
    </w:p>
    <w:p w:rsidR="00F02FB5" w:rsidRPr="00F02FB5" w:rsidRDefault="00F02FB5" w:rsidP="00F02FB5">
      <w:pPr>
        <w:pStyle w:val="Default"/>
        <w:ind w:left="720"/>
        <w:rPr>
          <w:b/>
          <w:bCs/>
          <w:color w:val="00000A"/>
        </w:rPr>
      </w:pPr>
    </w:p>
    <w:p w:rsidR="00B360D3" w:rsidRPr="00A7222A" w:rsidRDefault="00B360D3" w:rsidP="00B360D3">
      <w:pPr>
        <w:pStyle w:val="Odstavecseseznamem"/>
        <w:numPr>
          <w:ilvl w:val="0"/>
          <w:numId w:val="4"/>
        </w:numPr>
        <w:spacing w:after="0" w:line="240" w:lineRule="auto"/>
        <w:jc w:val="center"/>
        <w:rPr>
          <w:rFonts w:ascii="Times New Roman" w:hAnsi="Times New Roman" w:cs="Times New Roman"/>
          <w:b/>
          <w:sz w:val="24"/>
          <w:szCs w:val="24"/>
        </w:rPr>
      </w:pPr>
      <w:r w:rsidRPr="00A7222A">
        <w:rPr>
          <w:rFonts w:ascii="Times New Roman" w:hAnsi="Times New Roman" w:cs="Times New Roman"/>
          <w:b/>
          <w:sz w:val="24"/>
          <w:szCs w:val="24"/>
        </w:rPr>
        <w:t>TERMÍNY A MÍSTO PLNĚNÍ</w:t>
      </w:r>
    </w:p>
    <w:p w:rsidR="00B360D3" w:rsidRDefault="00B360D3" w:rsidP="00B360D3">
      <w:pPr>
        <w:spacing w:after="0" w:line="240" w:lineRule="auto"/>
        <w:jc w:val="both"/>
        <w:rPr>
          <w:rFonts w:ascii="Times New Roman" w:hAnsi="Times New Roman" w:cs="Times New Roman"/>
          <w:sz w:val="24"/>
          <w:szCs w:val="24"/>
        </w:rPr>
      </w:pPr>
    </w:p>
    <w:p w:rsidR="00F02FB5" w:rsidRPr="00F02FB5" w:rsidRDefault="00F02FB5" w:rsidP="00662F34">
      <w:pPr>
        <w:pStyle w:val="Odstavecseseznamem"/>
        <w:numPr>
          <w:ilvl w:val="1"/>
          <w:numId w:val="4"/>
        </w:numPr>
        <w:spacing w:after="0" w:line="240" w:lineRule="auto"/>
        <w:ind w:left="426" w:hanging="426"/>
        <w:jc w:val="both"/>
        <w:rPr>
          <w:rFonts w:ascii="Times New Roman" w:hAnsi="Times New Roman" w:cs="Times New Roman"/>
          <w:sz w:val="24"/>
          <w:szCs w:val="24"/>
        </w:rPr>
      </w:pPr>
      <w:r w:rsidRPr="00F02FB5">
        <w:rPr>
          <w:rFonts w:ascii="Times New Roman" w:hAnsi="Times New Roman" w:cs="Times New Roman"/>
          <w:sz w:val="24"/>
          <w:szCs w:val="24"/>
        </w:rPr>
        <w:t>Zhotovitel je povinen zahájit provádění díla nejpozději do 3 dnů ode dne</w:t>
      </w:r>
      <w:r>
        <w:rPr>
          <w:rFonts w:ascii="Times New Roman" w:hAnsi="Times New Roman" w:cs="Times New Roman"/>
          <w:sz w:val="24"/>
          <w:szCs w:val="24"/>
        </w:rPr>
        <w:t xml:space="preserve"> podpisu smlouvy a</w:t>
      </w:r>
      <w:r w:rsidRPr="00F02FB5">
        <w:rPr>
          <w:rFonts w:ascii="Times New Roman" w:hAnsi="Times New Roman" w:cs="Times New Roman"/>
          <w:sz w:val="24"/>
          <w:szCs w:val="24"/>
        </w:rPr>
        <w:t xml:space="preserve"> předání místa, kde bude dílo zhotovováno. Průběh prací bude dohodnut podle provozní </w:t>
      </w:r>
      <w:r w:rsidRPr="00F02FB5">
        <w:rPr>
          <w:rFonts w:ascii="Times New Roman" w:hAnsi="Times New Roman" w:cs="Times New Roman"/>
          <w:sz w:val="24"/>
          <w:szCs w:val="24"/>
        </w:rPr>
        <w:lastRenderedPageBreak/>
        <w:t>situace domova ze dne na den vedoucím provozu Domova pro seniory. O průběhu prací bude pořízen písemný záznam.</w:t>
      </w:r>
    </w:p>
    <w:p w:rsidR="00B360D3" w:rsidRPr="003A4504" w:rsidRDefault="00B360D3" w:rsidP="00904CAA">
      <w:pPr>
        <w:pStyle w:val="Odstavecseseznamem"/>
        <w:numPr>
          <w:ilvl w:val="1"/>
          <w:numId w:val="4"/>
        </w:numPr>
        <w:spacing w:after="0" w:line="240" w:lineRule="auto"/>
        <w:ind w:left="426" w:hanging="426"/>
        <w:jc w:val="both"/>
        <w:rPr>
          <w:rFonts w:ascii="Times New Roman" w:hAnsi="Times New Roman" w:cs="Times New Roman"/>
          <w:sz w:val="24"/>
          <w:szCs w:val="24"/>
        </w:rPr>
      </w:pPr>
      <w:r w:rsidRPr="003A4504">
        <w:rPr>
          <w:rFonts w:ascii="Times New Roman" w:hAnsi="Times New Roman" w:cs="Times New Roman"/>
          <w:sz w:val="24"/>
          <w:szCs w:val="24"/>
        </w:rPr>
        <w:t>Termín</w:t>
      </w:r>
      <w:r w:rsidR="000C0541">
        <w:rPr>
          <w:rFonts w:ascii="Times New Roman" w:hAnsi="Times New Roman" w:cs="Times New Roman"/>
          <w:sz w:val="24"/>
          <w:szCs w:val="24"/>
        </w:rPr>
        <w:t xml:space="preserve"> dokončení díla je stanoven</w:t>
      </w:r>
      <w:r w:rsidR="00460E27">
        <w:rPr>
          <w:rFonts w:ascii="Times New Roman" w:hAnsi="Times New Roman" w:cs="Times New Roman"/>
          <w:sz w:val="24"/>
          <w:szCs w:val="24"/>
        </w:rPr>
        <w:t xml:space="preserve"> </w:t>
      </w:r>
      <w:r w:rsidR="000C0541">
        <w:rPr>
          <w:rFonts w:ascii="Times New Roman" w:hAnsi="Times New Roman" w:cs="Times New Roman"/>
          <w:sz w:val="24"/>
          <w:szCs w:val="24"/>
        </w:rPr>
        <w:t xml:space="preserve">do </w:t>
      </w:r>
      <w:r w:rsidR="00F02FB5">
        <w:rPr>
          <w:rFonts w:ascii="Times New Roman" w:hAnsi="Times New Roman" w:cs="Times New Roman"/>
          <w:sz w:val="24"/>
          <w:szCs w:val="24"/>
        </w:rPr>
        <w:t>30.11.2019</w:t>
      </w:r>
      <w:r w:rsidRPr="003A4504">
        <w:rPr>
          <w:rFonts w:ascii="Times New Roman" w:hAnsi="Times New Roman" w:cs="Times New Roman"/>
          <w:sz w:val="24"/>
          <w:szCs w:val="24"/>
        </w:rPr>
        <w:t>.</w:t>
      </w:r>
    </w:p>
    <w:p w:rsidR="00B360D3" w:rsidRPr="003A4504" w:rsidRDefault="00B360D3" w:rsidP="00B8482F">
      <w:pPr>
        <w:pStyle w:val="Odstavecseseznamem"/>
        <w:numPr>
          <w:ilvl w:val="1"/>
          <w:numId w:val="4"/>
        </w:numPr>
        <w:spacing w:after="0" w:line="240" w:lineRule="auto"/>
        <w:ind w:left="426" w:hanging="426"/>
        <w:jc w:val="both"/>
        <w:rPr>
          <w:rFonts w:ascii="Times New Roman" w:hAnsi="Times New Roman" w:cs="Times New Roman"/>
          <w:sz w:val="24"/>
          <w:szCs w:val="24"/>
        </w:rPr>
      </w:pPr>
      <w:r w:rsidRPr="003A4504">
        <w:rPr>
          <w:rFonts w:ascii="Times New Roman" w:hAnsi="Times New Roman" w:cs="Times New Roman"/>
          <w:sz w:val="24"/>
          <w:szCs w:val="24"/>
        </w:rPr>
        <w:t xml:space="preserve">Místem plnění předmětu smlouvy </w:t>
      </w:r>
      <w:r w:rsidR="005D57D4" w:rsidRPr="009D4AAD">
        <w:rPr>
          <w:rFonts w:ascii="Times New Roman" w:hAnsi="Times New Roman" w:cs="Times New Roman"/>
          <w:sz w:val="24"/>
          <w:szCs w:val="24"/>
        </w:rPr>
        <w:t>Domov pro seniory Dobřichovice, Brunšov 365, 252 31 Všenory</w:t>
      </w:r>
    </w:p>
    <w:p w:rsidR="00582C9B" w:rsidRDefault="00B360D3" w:rsidP="007B423B">
      <w:pPr>
        <w:pStyle w:val="Odstavecseseznamem"/>
        <w:numPr>
          <w:ilvl w:val="1"/>
          <w:numId w:val="4"/>
        </w:numPr>
        <w:spacing w:after="0" w:line="240" w:lineRule="auto"/>
        <w:ind w:left="426" w:hanging="426"/>
        <w:jc w:val="both"/>
        <w:rPr>
          <w:rFonts w:ascii="Times New Roman" w:hAnsi="Times New Roman" w:cs="Times New Roman"/>
          <w:sz w:val="24"/>
          <w:szCs w:val="24"/>
        </w:rPr>
      </w:pPr>
      <w:r w:rsidRPr="00582C9B">
        <w:rPr>
          <w:rFonts w:ascii="Times New Roman" w:hAnsi="Times New Roman" w:cs="Times New Roman"/>
          <w:sz w:val="24"/>
          <w:szCs w:val="24"/>
        </w:rPr>
        <w:t>Termínem dokončení se rozumí den,</w:t>
      </w:r>
      <w:r w:rsidR="00582C9B">
        <w:rPr>
          <w:rFonts w:ascii="Times New Roman" w:hAnsi="Times New Roman" w:cs="Times New Roman"/>
          <w:sz w:val="24"/>
          <w:szCs w:val="24"/>
        </w:rPr>
        <w:t xml:space="preserve"> kdy zhotovitel umožní objednateli nakládat s dílem, byť s vadami</w:t>
      </w:r>
      <w:r w:rsidR="00582C9B" w:rsidRPr="00B360D3">
        <w:rPr>
          <w:rFonts w:ascii="Times New Roman" w:hAnsi="Times New Roman" w:cs="Times New Roman"/>
          <w:sz w:val="24"/>
          <w:szCs w:val="24"/>
        </w:rPr>
        <w:t xml:space="preserve"> a nedodělky, které nebrání užívání díla</w:t>
      </w:r>
      <w:r w:rsidR="00582C9B">
        <w:rPr>
          <w:rFonts w:ascii="Times New Roman" w:hAnsi="Times New Roman" w:cs="Times New Roman"/>
          <w:sz w:val="24"/>
          <w:szCs w:val="24"/>
        </w:rPr>
        <w:t>.</w:t>
      </w:r>
    </w:p>
    <w:p w:rsidR="00C01E7D" w:rsidRPr="00582C9B" w:rsidRDefault="00C01E7D" w:rsidP="007B423B">
      <w:pPr>
        <w:pStyle w:val="Odstavecseseznamem"/>
        <w:numPr>
          <w:ilvl w:val="1"/>
          <w:numId w:val="4"/>
        </w:numPr>
        <w:spacing w:after="0" w:line="240" w:lineRule="auto"/>
        <w:ind w:left="426" w:hanging="426"/>
        <w:jc w:val="both"/>
        <w:rPr>
          <w:rFonts w:ascii="Times New Roman" w:hAnsi="Times New Roman" w:cs="Times New Roman"/>
          <w:sz w:val="24"/>
          <w:szCs w:val="24"/>
        </w:rPr>
      </w:pPr>
      <w:r w:rsidRPr="00582C9B">
        <w:rPr>
          <w:rFonts w:ascii="Times New Roman" w:hAnsi="Times New Roman" w:cs="Times New Roman"/>
          <w:sz w:val="24"/>
          <w:szCs w:val="24"/>
        </w:rPr>
        <w:t>Smluvní strany se dohodly, že doba plnění díla a jeho jednotlivých částí se prodlužuje v případě výskytu překážek v průběhu zhotovování díla v místě zhotovení díla vyvolaných vyšší mocí vč. nepříznivých klimatických podmínek, tj. skutečností způsobených neobvyklými a nepředvídatelnými okolnostmi, které vznikly nezávisle na vůli zhotovitele a jimž nemohl zhotovitel při vynaložení veškerého svého úsilí předejít ani je odstranit (dále jen „</w:t>
      </w:r>
      <w:r w:rsidRPr="00582C9B">
        <w:rPr>
          <w:rFonts w:ascii="Times New Roman" w:hAnsi="Times New Roman" w:cs="Times New Roman"/>
          <w:b/>
          <w:bCs/>
          <w:i/>
          <w:iCs/>
          <w:sz w:val="24"/>
          <w:szCs w:val="24"/>
        </w:rPr>
        <w:t>Překážky zhotovení díla</w:t>
      </w:r>
      <w:r w:rsidRPr="00582C9B">
        <w:rPr>
          <w:rFonts w:ascii="Times New Roman" w:hAnsi="Times New Roman" w:cs="Times New Roman"/>
          <w:sz w:val="24"/>
          <w:szCs w:val="24"/>
        </w:rPr>
        <w:t xml:space="preserve">“).  </w:t>
      </w:r>
      <w:bookmarkStart w:id="0" w:name="highlightHit_13"/>
      <w:bookmarkStart w:id="1" w:name="highlightHit_14"/>
      <w:bookmarkStart w:id="2" w:name="highlightHit_15"/>
      <w:bookmarkStart w:id="3" w:name="highlightHit_16"/>
      <w:bookmarkStart w:id="4" w:name="highlightHit_17"/>
      <w:bookmarkEnd w:id="0"/>
      <w:bookmarkEnd w:id="1"/>
      <w:bookmarkEnd w:id="2"/>
      <w:bookmarkEnd w:id="3"/>
      <w:bookmarkEnd w:id="4"/>
      <w:r w:rsidRPr="00582C9B">
        <w:rPr>
          <w:rFonts w:ascii="Times New Roman" w:hAnsi="Times New Roman" w:cs="Times New Roman"/>
          <w:sz w:val="24"/>
          <w:szCs w:val="24"/>
        </w:rPr>
        <w:t>Pro případ této smlouvy se za Překážky zhotovení díla považují zejména válka, mobilizace, povodeň, záplavy, hromadné neštěstí, požár, výbuch, chemické nebo biologické nebezpečí, průmyslové a přírodní pohromy, občanské n</w:t>
      </w:r>
      <w:r w:rsidR="00582C9B" w:rsidRPr="00582C9B">
        <w:rPr>
          <w:rFonts w:ascii="Times New Roman" w:hAnsi="Times New Roman" w:cs="Times New Roman"/>
          <w:sz w:val="24"/>
          <w:szCs w:val="24"/>
        </w:rPr>
        <w:t xml:space="preserve">epokoje,  teplota vzduchu nižší </w:t>
      </w:r>
      <w:r w:rsidRPr="00582C9B">
        <w:rPr>
          <w:rFonts w:ascii="Times New Roman" w:hAnsi="Times New Roman" w:cs="Times New Roman"/>
          <w:sz w:val="24"/>
          <w:szCs w:val="24"/>
        </w:rPr>
        <w:t xml:space="preserve">než </w:t>
      </w:r>
      <w:r w:rsidR="00582C9B" w:rsidRPr="00582C9B">
        <w:rPr>
          <w:rFonts w:ascii="Times New Roman" w:hAnsi="Times New Roman" w:cs="Times New Roman"/>
          <w:sz w:val="24"/>
          <w:szCs w:val="24"/>
        </w:rPr>
        <w:t>0</w:t>
      </w:r>
      <w:r w:rsidRPr="00582C9B">
        <w:rPr>
          <w:rFonts w:ascii="Times New Roman" w:hAnsi="Times New Roman" w:cs="Times New Roman"/>
          <w:sz w:val="24"/>
          <w:szCs w:val="24"/>
        </w:rPr>
        <w:t xml:space="preserve">°C, kroupy, sněžení a sněhová pokrývka, déšť, nepříznivé povětrností podmínky apod., které  ztěžují zhotovování díla zhotoviteli a které není možné za daných podmínek ani při vynaložení veškerého úsilí nikým odvrátit vzhledem k jejich mimořádnosti a nepředvídatelnosti. V případě výskytu Překážek zhotovení díla se </w:t>
      </w:r>
      <w:r w:rsidR="00582C9B">
        <w:rPr>
          <w:rFonts w:ascii="Times New Roman" w:hAnsi="Times New Roman" w:cs="Times New Roman"/>
          <w:sz w:val="24"/>
          <w:szCs w:val="24"/>
        </w:rPr>
        <w:t>termín</w:t>
      </w:r>
      <w:r w:rsidRPr="00582C9B">
        <w:rPr>
          <w:rFonts w:ascii="Times New Roman" w:hAnsi="Times New Roman" w:cs="Times New Roman"/>
          <w:sz w:val="24"/>
          <w:szCs w:val="24"/>
        </w:rPr>
        <w:t xml:space="preserve"> plnění díla prodlužuje o počet dnů, v nichž se kterákoliv z Překážek zhotovení díla vyskytla. </w:t>
      </w:r>
    </w:p>
    <w:p w:rsidR="00D7303D" w:rsidRPr="003A4504" w:rsidRDefault="00D7303D" w:rsidP="00C01E7D">
      <w:pPr>
        <w:pStyle w:val="Odstavecseseznamem"/>
        <w:spacing w:after="0" w:line="240" w:lineRule="auto"/>
        <w:ind w:left="426"/>
        <w:jc w:val="both"/>
        <w:rPr>
          <w:rFonts w:ascii="Times New Roman" w:hAnsi="Times New Roman" w:cs="Times New Roman"/>
          <w:sz w:val="24"/>
          <w:szCs w:val="24"/>
        </w:rPr>
      </w:pPr>
    </w:p>
    <w:p w:rsidR="00B360D3" w:rsidRPr="00B360D3" w:rsidRDefault="00B360D3" w:rsidP="00B360D3">
      <w:pPr>
        <w:pStyle w:val="Odstavecseseznamem"/>
        <w:numPr>
          <w:ilvl w:val="1"/>
          <w:numId w:val="4"/>
        </w:numPr>
        <w:spacing w:after="0" w:line="240" w:lineRule="auto"/>
        <w:ind w:left="426" w:hanging="426"/>
        <w:jc w:val="both"/>
        <w:rPr>
          <w:rFonts w:ascii="Times New Roman" w:hAnsi="Times New Roman" w:cs="Times New Roman"/>
          <w:sz w:val="24"/>
          <w:szCs w:val="24"/>
        </w:rPr>
      </w:pPr>
      <w:r w:rsidRPr="00B360D3">
        <w:rPr>
          <w:rFonts w:ascii="Times New Roman" w:hAnsi="Times New Roman" w:cs="Times New Roman"/>
          <w:sz w:val="24"/>
          <w:szCs w:val="24"/>
        </w:rPr>
        <w:t xml:space="preserve">Vady a nedodělky, které nebrání užívání díla nejsou překážkou na straně objednatele k převzetí díla. </w:t>
      </w:r>
    </w:p>
    <w:p w:rsidR="00B360D3" w:rsidRDefault="00B360D3" w:rsidP="00B360D3">
      <w:pPr>
        <w:pStyle w:val="Odstavecseseznamem"/>
        <w:spacing w:after="0" w:line="240" w:lineRule="auto"/>
        <w:ind w:left="851"/>
        <w:jc w:val="both"/>
        <w:rPr>
          <w:rFonts w:ascii="Times New Roman" w:hAnsi="Times New Roman" w:cs="Times New Roman"/>
          <w:sz w:val="24"/>
          <w:szCs w:val="24"/>
        </w:rPr>
      </w:pPr>
    </w:p>
    <w:p w:rsidR="00B360D3" w:rsidRPr="00782B4A" w:rsidRDefault="00B360D3" w:rsidP="00B360D3">
      <w:pPr>
        <w:pStyle w:val="Odstavecseseznamem"/>
        <w:numPr>
          <w:ilvl w:val="0"/>
          <w:numId w:val="4"/>
        </w:numPr>
        <w:spacing w:after="0" w:line="240" w:lineRule="auto"/>
        <w:jc w:val="center"/>
        <w:rPr>
          <w:rFonts w:ascii="Times New Roman" w:hAnsi="Times New Roman" w:cs="Times New Roman"/>
          <w:b/>
          <w:sz w:val="24"/>
          <w:szCs w:val="24"/>
        </w:rPr>
      </w:pPr>
      <w:r w:rsidRPr="00782B4A">
        <w:rPr>
          <w:rFonts w:ascii="Times New Roman" w:hAnsi="Times New Roman" w:cs="Times New Roman"/>
          <w:b/>
          <w:sz w:val="24"/>
          <w:szCs w:val="24"/>
        </w:rPr>
        <w:t>PODMÍNKY PROVEDENÍ DÍLA</w:t>
      </w:r>
    </w:p>
    <w:p w:rsidR="00B360D3" w:rsidRDefault="00B360D3" w:rsidP="00B360D3">
      <w:pPr>
        <w:spacing w:after="0" w:line="240" w:lineRule="auto"/>
        <w:jc w:val="both"/>
        <w:rPr>
          <w:rFonts w:ascii="Times New Roman" w:hAnsi="Times New Roman" w:cs="Times New Roman"/>
          <w:sz w:val="24"/>
          <w:szCs w:val="24"/>
        </w:rPr>
      </w:pPr>
    </w:p>
    <w:p w:rsidR="00B360D3" w:rsidRDefault="00B360D3" w:rsidP="00B360D3">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Pr="00B360D3">
        <w:rPr>
          <w:rFonts w:ascii="Times New Roman" w:hAnsi="Times New Roman" w:cs="Times New Roman"/>
          <w:sz w:val="24"/>
          <w:szCs w:val="24"/>
        </w:rPr>
        <w:t>Zhotovitel bude při vypracování díla postupovat podle obecně závazných předpisů, závazných a doporučených českých, resp. evropských technických norem, podle ujednání obsažených v této smlouvě tak, aby dílo mělo vlastnosti v této smlouvě dohodnuté, případně obvyklé.</w:t>
      </w:r>
    </w:p>
    <w:p w:rsidR="00B360D3" w:rsidRPr="00B360D3" w:rsidRDefault="00B360D3" w:rsidP="00B360D3">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Pr="00B360D3">
        <w:rPr>
          <w:rFonts w:ascii="Times New Roman" w:hAnsi="Times New Roman" w:cs="Times New Roman"/>
          <w:sz w:val="24"/>
          <w:szCs w:val="24"/>
        </w:rPr>
        <w:t xml:space="preserve">Zhotovitel bude při plnění této smlouvy postupovat s odbornou péčí. </w:t>
      </w:r>
    </w:p>
    <w:p w:rsidR="00B360D3" w:rsidRDefault="00B360D3" w:rsidP="00B360D3">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3.3  </w:t>
      </w:r>
      <w:r w:rsidRPr="00B360D3">
        <w:rPr>
          <w:rFonts w:ascii="Times New Roman" w:hAnsi="Times New Roman" w:cs="Times New Roman"/>
          <w:sz w:val="24"/>
          <w:szCs w:val="24"/>
        </w:rPr>
        <w:t xml:space="preserve">Pokud se jedná o další pokyny objednatele učiněné po uzavření smlouvy, bude je zhotovitel respektovat v případě, že budou směřovat k upřesnění sjednaného rozsahu díla. </w:t>
      </w:r>
    </w:p>
    <w:p w:rsidR="00B360D3" w:rsidRPr="00B360D3" w:rsidRDefault="00B360D3" w:rsidP="00B360D3">
      <w:pPr>
        <w:spacing w:after="0" w:line="240" w:lineRule="auto"/>
        <w:ind w:left="426" w:hanging="426"/>
        <w:jc w:val="both"/>
        <w:rPr>
          <w:rFonts w:ascii="Times New Roman" w:hAnsi="Times New Roman" w:cs="Times New Roman"/>
          <w:sz w:val="24"/>
          <w:szCs w:val="24"/>
        </w:rPr>
      </w:pPr>
    </w:p>
    <w:p w:rsidR="00B360D3" w:rsidRDefault="00B360D3" w:rsidP="00B360D3">
      <w:pPr>
        <w:pStyle w:val="Odstavecseseznamem"/>
        <w:numPr>
          <w:ilvl w:val="0"/>
          <w:numId w:val="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 DÍLA a PLATEBNÍ PODMÍNKY</w:t>
      </w:r>
    </w:p>
    <w:p w:rsidR="00B360D3" w:rsidRDefault="00B360D3" w:rsidP="00B360D3">
      <w:pPr>
        <w:pStyle w:val="Odstavecseseznamem"/>
        <w:spacing w:after="0" w:line="240" w:lineRule="auto"/>
        <w:jc w:val="both"/>
        <w:rPr>
          <w:rFonts w:ascii="Times New Roman" w:hAnsi="Times New Roman" w:cs="Times New Roman"/>
          <w:b/>
          <w:sz w:val="24"/>
          <w:szCs w:val="24"/>
        </w:rPr>
      </w:pPr>
    </w:p>
    <w:p w:rsidR="003A4504"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sidRPr="003A4504">
        <w:rPr>
          <w:rFonts w:ascii="Times New Roman" w:hAnsi="Times New Roman" w:cs="Times New Roman"/>
          <w:sz w:val="24"/>
          <w:szCs w:val="24"/>
        </w:rPr>
        <w:t xml:space="preserve">Celková cena za řádně zhotovené a předané dílo dle této smlouvy a činnosti s tím související, činí: </w:t>
      </w:r>
      <w:r w:rsidR="0099210A" w:rsidRPr="0099210A">
        <w:rPr>
          <w:rFonts w:ascii="Times New Roman" w:hAnsi="Times New Roman" w:cs="Times New Roman"/>
          <w:b/>
          <w:sz w:val="24"/>
          <w:szCs w:val="24"/>
          <w:highlight w:val="yellow"/>
        </w:rPr>
        <w:t>„…“</w:t>
      </w:r>
      <w:r w:rsidR="00917109" w:rsidRPr="00D137A2">
        <w:rPr>
          <w:rFonts w:ascii="Times New Roman" w:hAnsi="Times New Roman" w:cs="Times New Roman"/>
          <w:b/>
          <w:sz w:val="24"/>
          <w:szCs w:val="24"/>
        </w:rPr>
        <w:t xml:space="preserve"> Kč b</w:t>
      </w:r>
      <w:r w:rsidRPr="00D137A2">
        <w:rPr>
          <w:rFonts w:ascii="Times New Roman" w:hAnsi="Times New Roman" w:cs="Times New Roman"/>
          <w:b/>
          <w:sz w:val="24"/>
          <w:szCs w:val="24"/>
        </w:rPr>
        <w:t>ez DPH</w:t>
      </w:r>
      <w:r w:rsidR="00A369FB">
        <w:rPr>
          <w:rFonts w:ascii="Times New Roman" w:hAnsi="Times New Roman" w:cs="Times New Roman"/>
          <w:b/>
          <w:sz w:val="24"/>
          <w:szCs w:val="24"/>
        </w:rPr>
        <w:t xml:space="preserve"> tj. </w:t>
      </w:r>
      <w:r w:rsidRPr="003A4504">
        <w:rPr>
          <w:rFonts w:ascii="Times New Roman" w:hAnsi="Times New Roman" w:cs="Times New Roman"/>
          <w:sz w:val="24"/>
          <w:szCs w:val="24"/>
        </w:rPr>
        <w:t xml:space="preserve"> </w:t>
      </w:r>
      <w:r w:rsidR="0099210A" w:rsidRPr="0099210A">
        <w:rPr>
          <w:rFonts w:ascii="Times New Roman" w:hAnsi="Times New Roman" w:cs="Times New Roman"/>
          <w:b/>
          <w:sz w:val="24"/>
          <w:szCs w:val="24"/>
          <w:highlight w:val="yellow"/>
        </w:rPr>
        <w:t>„…“</w:t>
      </w:r>
      <w:r w:rsidR="0099210A">
        <w:rPr>
          <w:rFonts w:ascii="Times New Roman" w:hAnsi="Times New Roman" w:cs="Times New Roman"/>
          <w:b/>
          <w:sz w:val="24"/>
          <w:szCs w:val="24"/>
        </w:rPr>
        <w:t xml:space="preserve"> </w:t>
      </w:r>
      <w:r w:rsidR="00917109" w:rsidRPr="00D137A2">
        <w:rPr>
          <w:rFonts w:ascii="Times New Roman" w:hAnsi="Times New Roman" w:cs="Times New Roman"/>
          <w:b/>
          <w:sz w:val="24"/>
          <w:szCs w:val="24"/>
        </w:rPr>
        <w:t>Kč</w:t>
      </w:r>
      <w:r w:rsidR="00A369FB">
        <w:rPr>
          <w:rFonts w:ascii="Times New Roman" w:hAnsi="Times New Roman" w:cs="Times New Roman"/>
          <w:b/>
          <w:sz w:val="24"/>
          <w:szCs w:val="24"/>
        </w:rPr>
        <w:t xml:space="preserve"> </w:t>
      </w:r>
      <w:r w:rsidR="002D41DE">
        <w:rPr>
          <w:rFonts w:ascii="Times New Roman" w:hAnsi="Times New Roman" w:cs="Times New Roman"/>
          <w:b/>
          <w:sz w:val="24"/>
          <w:szCs w:val="24"/>
        </w:rPr>
        <w:t>vč</w:t>
      </w:r>
      <w:r w:rsidR="00A369FB">
        <w:rPr>
          <w:rFonts w:ascii="Times New Roman" w:hAnsi="Times New Roman" w:cs="Times New Roman"/>
          <w:b/>
          <w:sz w:val="24"/>
          <w:szCs w:val="24"/>
        </w:rPr>
        <w:t xml:space="preserve">etně </w:t>
      </w:r>
      <w:r w:rsidR="00F7264F">
        <w:rPr>
          <w:rFonts w:ascii="Times New Roman" w:hAnsi="Times New Roman" w:cs="Times New Roman"/>
          <w:b/>
          <w:sz w:val="24"/>
          <w:szCs w:val="24"/>
        </w:rPr>
        <w:t>15%</w:t>
      </w:r>
      <w:r w:rsidR="003A4504" w:rsidRPr="00D137A2">
        <w:rPr>
          <w:rFonts w:ascii="Times New Roman" w:hAnsi="Times New Roman" w:cs="Times New Roman"/>
          <w:b/>
          <w:sz w:val="24"/>
          <w:szCs w:val="24"/>
        </w:rPr>
        <w:t> </w:t>
      </w:r>
      <w:r w:rsidRPr="00D137A2">
        <w:rPr>
          <w:rFonts w:ascii="Times New Roman" w:hAnsi="Times New Roman" w:cs="Times New Roman"/>
          <w:b/>
          <w:sz w:val="24"/>
          <w:szCs w:val="24"/>
        </w:rPr>
        <w:t>DPH</w:t>
      </w:r>
      <w:r w:rsidR="00917109">
        <w:rPr>
          <w:rFonts w:ascii="Times New Roman" w:hAnsi="Times New Roman" w:cs="Times New Roman"/>
          <w:sz w:val="24"/>
          <w:szCs w:val="24"/>
        </w:rPr>
        <w:t>.</w:t>
      </w:r>
    </w:p>
    <w:p w:rsidR="00B360D3" w:rsidRPr="003A4504"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sidRPr="003A4504">
        <w:rPr>
          <w:rFonts w:ascii="Times New Roman" w:hAnsi="Times New Roman" w:cs="Times New Roman"/>
          <w:sz w:val="24"/>
          <w:szCs w:val="24"/>
        </w:rPr>
        <w:t>Případné vícepráce budou zhotovitelem účtovány na základě skutečného rozsahu provedených víceprací po předání díla</w:t>
      </w:r>
      <w:r w:rsidR="003A4504">
        <w:rPr>
          <w:rFonts w:ascii="Times New Roman" w:hAnsi="Times New Roman" w:cs="Times New Roman"/>
          <w:sz w:val="24"/>
          <w:szCs w:val="24"/>
        </w:rPr>
        <w:t xml:space="preserve"> po odsouhlasení objednatele</w:t>
      </w:r>
      <w:r w:rsidRPr="003A4504">
        <w:rPr>
          <w:rFonts w:ascii="Times New Roman" w:hAnsi="Times New Roman" w:cs="Times New Roman"/>
          <w:sz w:val="24"/>
          <w:szCs w:val="24"/>
        </w:rPr>
        <w:t>.</w:t>
      </w:r>
    </w:p>
    <w:p w:rsidR="00B360D3"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Sjednaná odměna bude zhotovitelem vyúčtována fakturou po předání díla. Splatnost faktury je do 14 dnů ode dne vystavení faktury. </w:t>
      </w:r>
    </w:p>
    <w:p w:rsidR="00B360D3"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Faktura zhotovitele musí obsahovat všechny náležitosti vyplývající z právních předpisů, zejména ze zákona č. 563/1991Sb. o účetnictví a zákona č. 235/2004 Sb. o DPH ve znění pozdějších předpisů. Objednatel má právo jednotlivé faktury zhotoviteli vrátit, pokud neobsahuje zákonem stanovené náležitosti. </w:t>
      </w:r>
    </w:p>
    <w:p w:rsidR="00B360D3" w:rsidRDefault="00B360D3" w:rsidP="00B360D3">
      <w:pPr>
        <w:pStyle w:val="Odstavecseseznamem"/>
        <w:spacing w:after="0" w:line="240" w:lineRule="auto"/>
        <w:rPr>
          <w:rFonts w:ascii="Times New Roman" w:hAnsi="Times New Roman" w:cs="Times New Roman"/>
          <w:b/>
          <w:sz w:val="24"/>
          <w:szCs w:val="24"/>
        </w:rPr>
      </w:pPr>
    </w:p>
    <w:p w:rsidR="00B360D3" w:rsidRDefault="00B360D3" w:rsidP="00B360D3">
      <w:pPr>
        <w:pStyle w:val="Odstavecseseznamem"/>
        <w:spacing w:after="0" w:line="240" w:lineRule="auto"/>
        <w:rPr>
          <w:rFonts w:ascii="Times New Roman" w:hAnsi="Times New Roman" w:cs="Times New Roman"/>
          <w:b/>
          <w:sz w:val="24"/>
          <w:szCs w:val="24"/>
        </w:rPr>
      </w:pPr>
    </w:p>
    <w:p w:rsidR="00F02FB5" w:rsidRDefault="00F02FB5" w:rsidP="00B360D3">
      <w:pPr>
        <w:pStyle w:val="Odstavecseseznamem"/>
        <w:spacing w:after="0" w:line="240" w:lineRule="auto"/>
        <w:rPr>
          <w:rFonts w:ascii="Times New Roman" w:hAnsi="Times New Roman" w:cs="Times New Roman"/>
          <w:b/>
          <w:sz w:val="24"/>
          <w:szCs w:val="24"/>
        </w:rPr>
      </w:pPr>
    </w:p>
    <w:p w:rsidR="00B360D3" w:rsidRPr="00936E38" w:rsidRDefault="00B360D3" w:rsidP="00B360D3">
      <w:pPr>
        <w:pStyle w:val="Odstavecseseznamem"/>
        <w:numPr>
          <w:ilvl w:val="0"/>
          <w:numId w:val="4"/>
        </w:numPr>
        <w:spacing w:after="0" w:line="240" w:lineRule="auto"/>
        <w:jc w:val="center"/>
        <w:rPr>
          <w:rFonts w:ascii="Times New Roman" w:hAnsi="Times New Roman" w:cs="Times New Roman"/>
          <w:b/>
          <w:sz w:val="24"/>
          <w:szCs w:val="24"/>
        </w:rPr>
      </w:pPr>
      <w:r w:rsidRPr="00936E38">
        <w:rPr>
          <w:rFonts w:ascii="Times New Roman" w:hAnsi="Times New Roman" w:cs="Times New Roman"/>
          <w:b/>
          <w:sz w:val="24"/>
          <w:szCs w:val="24"/>
        </w:rPr>
        <w:lastRenderedPageBreak/>
        <w:t xml:space="preserve">SPOLUPŮSOBENÍ </w:t>
      </w:r>
      <w:r>
        <w:rPr>
          <w:rFonts w:ascii="Times New Roman" w:hAnsi="Times New Roman" w:cs="Times New Roman"/>
          <w:b/>
          <w:sz w:val="24"/>
          <w:szCs w:val="24"/>
        </w:rPr>
        <w:t>OBJEDNATELE</w:t>
      </w:r>
    </w:p>
    <w:p w:rsidR="00B360D3" w:rsidRPr="00936E38" w:rsidRDefault="00B360D3" w:rsidP="00B360D3">
      <w:pPr>
        <w:spacing w:after="0" w:line="240" w:lineRule="auto"/>
        <w:jc w:val="both"/>
        <w:rPr>
          <w:rFonts w:ascii="Times New Roman" w:hAnsi="Times New Roman" w:cs="Times New Roman"/>
          <w:sz w:val="24"/>
          <w:szCs w:val="24"/>
        </w:rPr>
      </w:pPr>
    </w:p>
    <w:p w:rsidR="00B360D3"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sidRPr="00780308">
        <w:rPr>
          <w:rFonts w:ascii="Times New Roman" w:hAnsi="Times New Roman" w:cs="Times New Roman"/>
          <w:sz w:val="24"/>
          <w:szCs w:val="24"/>
        </w:rPr>
        <w:t xml:space="preserve">Objednatel se zavazuje </w:t>
      </w:r>
      <w:r w:rsidRPr="0009213C">
        <w:rPr>
          <w:rFonts w:ascii="Times New Roman" w:hAnsi="Times New Roman" w:cs="Times New Roman"/>
          <w:sz w:val="24"/>
          <w:szCs w:val="24"/>
        </w:rPr>
        <w:t>poskytnout</w:t>
      </w:r>
      <w:r w:rsidRPr="00780308">
        <w:rPr>
          <w:rFonts w:ascii="Times New Roman" w:hAnsi="Times New Roman" w:cs="Times New Roman"/>
          <w:sz w:val="24"/>
          <w:szCs w:val="24"/>
        </w:rPr>
        <w:t xml:space="preserve"> zhotoviteli pro vytvoření díla </w:t>
      </w:r>
      <w:r w:rsidRPr="0009213C">
        <w:rPr>
          <w:rFonts w:ascii="Times New Roman" w:hAnsi="Times New Roman" w:cs="Times New Roman"/>
          <w:sz w:val="24"/>
          <w:szCs w:val="24"/>
        </w:rPr>
        <w:t>nezbytnou součinnost</w:t>
      </w:r>
      <w:r w:rsidRPr="00780308">
        <w:rPr>
          <w:rFonts w:ascii="Times New Roman" w:hAnsi="Times New Roman" w:cs="Times New Roman"/>
          <w:sz w:val="24"/>
          <w:szCs w:val="24"/>
        </w:rPr>
        <w:t>, kterou lze po něm spravedlivě požadovat</w:t>
      </w:r>
      <w:r>
        <w:rPr>
          <w:rFonts w:ascii="Times New Roman" w:hAnsi="Times New Roman" w:cs="Times New Roman"/>
          <w:sz w:val="24"/>
          <w:szCs w:val="24"/>
        </w:rPr>
        <w:t>,</w:t>
      </w:r>
      <w:r w:rsidRPr="00780308">
        <w:rPr>
          <w:rFonts w:ascii="Times New Roman" w:hAnsi="Times New Roman" w:cs="Times New Roman"/>
          <w:sz w:val="24"/>
          <w:szCs w:val="24"/>
        </w:rPr>
        <w:t xml:space="preserve"> a to na základě důvodného požadavku zhotovitele doručeného v přiměřeném předstihu objednateli. </w:t>
      </w:r>
    </w:p>
    <w:p w:rsidR="00B360D3" w:rsidRPr="00780308"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Objednatel má právo kontrolovat provádění díla. Zjistí-li objednatel, že zhotovitel porušuje svou povinnost, může objednatel požadovat, aby zhotovitel zajistil nápravu a prováděl dílo řádným způsobem. Neučiní-li tak zhotovitel ani v přiměřené době, může objednatel odstoupit od smlouvy, vedl-li by postup zhotovitele nepochybně k podstatnému porušení smlouvy. </w:t>
      </w:r>
    </w:p>
    <w:p w:rsidR="00B360D3" w:rsidRPr="00480387"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sidRPr="00480387">
        <w:rPr>
          <w:rFonts w:ascii="Times New Roman" w:hAnsi="Times New Roman" w:cs="Times New Roman"/>
          <w:sz w:val="24"/>
          <w:szCs w:val="24"/>
        </w:rPr>
        <w:t>Objednatel odpovídá za to, že podklady, které zhotoviteli předal nebo předá</w:t>
      </w:r>
      <w:r>
        <w:rPr>
          <w:rFonts w:ascii="Times New Roman" w:hAnsi="Times New Roman" w:cs="Times New Roman"/>
          <w:sz w:val="24"/>
          <w:szCs w:val="24"/>
        </w:rPr>
        <w:t>, jakož i pokyny k provádění díla</w:t>
      </w:r>
      <w:r w:rsidRPr="00480387">
        <w:rPr>
          <w:rFonts w:ascii="Times New Roman" w:hAnsi="Times New Roman" w:cs="Times New Roman"/>
          <w:sz w:val="24"/>
          <w:szCs w:val="24"/>
        </w:rPr>
        <w:t>, jsou bez právních vad a neporušují zejména práva třetích osob.</w:t>
      </w:r>
    </w:p>
    <w:p w:rsidR="00B360D3"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sidRPr="00480387">
        <w:rPr>
          <w:rFonts w:ascii="Times New Roman" w:hAnsi="Times New Roman" w:cs="Times New Roman"/>
          <w:sz w:val="24"/>
          <w:szCs w:val="24"/>
        </w:rPr>
        <w:t>Splnění sjednaných termínů je závislé na včasném a řádném spolupůsobení objednatele, dohodnutého v této smlouvě. Prodlení objednatele je důvodem ke změně sjednaných termínů, dotčených nesplněním spolupůsobením objednatele.</w:t>
      </w:r>
    </w:p>
    <w:p w:rsidR="00F02FB5" w:rsidRPr="00480387" w:rsidRDefault="00F02FB5"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sidRPr="00F02FB5">
        <w:rPr>
          <w:rFonts w:ascii="Times New Roman" w:hAnsi="Times New Roman" w:cs="Times New Roman"/>
          <w:sz w:val="24"/>
          <w:szCs w:val="24"/>
        </w:rPr>
        <w:t>Zhotovitel je povinen při provozování díla dodržovat veškeré normy</w:t>
      </w:r>
      <w:r>
        <w:rPr>
          <w:rFonts w:ascii="Times New Roman" w:hAnsi="Times New Roman" w:cs="Times New Roman"/>
          <w:sz w:val="24"/>
          <w:szCs w:val="24"/>
        </w:rPr>
        <w:t>, bezpečnost práce, požární ochranu</w:t>
      </w:r>
      <w:bookmarkStart w:id="5" w:name="_GoBack"/>
      <w:bookmarkEnd w:id="5"/>
      <w:r w:rsidRPr="00F02FB5">
        <w:rPr>
          <w:rFonts w:ascii="Times New Roman" w:hAnsi="Times New Roman" w:cs="Times New Roman"/>
          <w:sz w:val="24"/>
          <w:szCs w:val="24"/>
        </w:rPr>
        <w:t xml:space="preserve"> a obecně závazné právní předpisy. Pokud porušením těchto předpisů vznikne škoda, hradí ji v plné výši zhotovitel.</w:t>
      </w:r>
    </w:p>
    <w:p w:rsidR="00B360D3" w:rsidRDefault="00B360D3" w:rsidP="00B360D3">
      <w:pPr>
        <w:spacing w:after="0" w:line="240" w:lineRule="auto"/>
        <w:jc w:val="both"/>
        <w:rPr>
          <w:rFonts w:ascii="Times New Roman" w:hAnsi="Times New Roman" w:cs="Times New Roman"/>
          <w:sz w:val="24"/>
          <w:szCs w:val="24"/>
        </w:rPr>
      </w:pPr>
    </w:p>
    <w:p w:rsidR="00B360D3" w:rsidRPr="00F7546F" w:rsidRDefault="00B360D3" w:rsidP="00B360D3">
      <w:pPr>
        <w:spacing w:after="0" w:line="240" w:lineRule="auto"/>
        <w:jc w:val="both"/>
        <w:rPr>
          <w:rFonts w:ascii="Times New Roman" w:hAnsi="Times New Roman" w:cs="Times New Roman"/>
          <w:sz w:val="24"/>
          <w:szCs w:val="24"/>
        </w:rPr>
      </w:pPr>
    </w:p>
    <w:p w:rsidR="00B360D3" w:rsidRPr="00F7546F" w:rsidRDefault="00B360D3" w:rsidP="00B360D3">
      <w:pPr>
        <w:pStyle w:val="Odstavecseseznamem"/>
        <w:numPr>
          <w:ilvl w:val="0"/>
          <w:numId w:val="4"/>
        </w:numPr>
        <w:spacing w:after="0" w:line="240" w:lineRule="auto"/>
        <w:jc w:val="center"/>
        <w:rPr>
          <w:rFonts w:ascii="Times New Roman" w:hAnsi="Times New Roman" w:cs="Times New Roman"/>
          <w:b/>
          <w:sz w:val="24"/>
          <w:szCs w:val="24"/>
        </w:rPr>
      </w:pPr>
      <w:r w:rsidRPr="00F7546F">
        <w:rPr>
          <w:rFonts w:ascii="Times New Roman" w:hAnsi="Times New Roman" w:cs="Times New Roman"/>
          <w:b/>
          <w:sz w:val="24"/>
          <w:szCs w:val="24"/>
        </w:rPr>
        <w:t>PŘEDÁNÍ DÍLA, VLASTNICKÁ PRÁVA K DÍLU</w:t>
      </w:r>
    </w:p>
    <w:p w:rsidR="00B360D3" w:rsidRPr="00F7546F" w:rsidRDefault="00B360D3" w:rsidP="00B360D3">
      <w:pPr>
        <w:spacing w:after="0" w:line="240" w:lineRule="auto"/>
        <w:jc w:val="both"/>
        <w:rPr>
          <w:rFonts w:ascii="Times New Roman" w:hAnsi="Times New Roman" w:cs="Times New Roman"/>
          <w:sz w:val="24"/>
          <w:szCs w:val="24"/>
        </w:rPr>
      </w:pPr>
    </w:p>
    <w:p w:rsidR="00B360D3" w:rsidRPr="00F7546F"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sidRPr="00F7546F">
        <w:rPr>
          <w:rFonts w:ascii="Times New Roman" w:hAnsi="Times New Roman" w:cs="Times New Roman"/>
          <w:sz w:val="24"/>
          <w:szCs w:val="24"/>
        </w:rPr>
        <w:t>Zhotovitel splní svou povinnost zhotovit dílo neb</w:t>
      </w:r>
      <w:r>
        <w:rPr>
          <w:rFonts w:ascii="Times New Roman" w:hAnsi="Times New Roman" w:cs="Times New Roman"/>
          <w:sz w:val="24"/>
          <w:szCs w:val="24"/>
        </w:rPr>
        <w:t>o jeho dílčí čá</w:t>
      </w:r>
      <w:r w:rsidRPr="00F7546F">
        <w:rPr>
          <w:rFonts w:ascii="Times New Roman" w:hAnsi="Times New Roman" w:cs="Times New Roman"/>
          <w:sz w:val="24"/>
          <w:szCs w:val="24"/>
        </w:rPr>
        <w:t xml:space="preserve">st </w:t>
      </w:r>
      <w:r w:rsidRPr="0014624E">
        <w:rPr>
          <w:rFonts w:ascii="Times New Roman" w:hAnsi="Times New Roman" w:cs="Times New Roman"/>
          <w:sz w:val="24"/>
          <w:szCs w:val="24"/>
        </w:rPr>
        <w:t>řádným dokončením a předáním</w:t>
      </w:r>
      <w:r>
        <w:rPr>
          <w:rFonts w:ascii="Times New Roman" w:hAnsi="Times New Roman" w:cs="Times New Roman"/>
          <w:sz w:val="24"/>
          <w:szCs w:val="24"/>
        </w:rPr>
        <w:t xml:space="preserve"> díla</w:t>
      </w:r>
      <w:r w:rsidRPr="0014624E">
        <w:rPr>
          <w:rFonts w:ascii="Times New Roman" w:hAnsi="Times New Roman" w:cs="Times New Roman"/>
          <w:sz w:val="24"/>
          <w:szCs w:val="24"/>
        </w:rPr>
        <w:t xml:space="preserve"> objednateli v jeho sídle.</w:t>
      </w:r>
    </w:p>
    <w:p w:rsidR="00B360D3"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Objednatel je oprávněn převzít řádně dokončené dílo </w:t>
      </w:r>
      <w:r w:rsidRPr="0014624E">
        <w:rPr>
          <w:rFonts w:ascii="Times New Roman" w:hAnsi="Times New Roman" w:cs="Times New Roman"/>
          <w:sz w:val="24"/>
          <w:szCs w:val="24"/>
        </w:rPr>
        <w:t xml:space="preserve">i před termínem </w:t>
      </w:r>
      <w:r>
        <w:rPr>
          <w:rFonts w:ascii="Times New Roman" w:hAnsi="Times New Roman" w:cs="Times New Roman"/>
          <w:sz w:val="24"/>
          <w:szCs w:val="24"/>
        </w:rPr>
        <w:t>předán</w:t>
      </w:r>
      <w:r w:rsidRPr="0014624E">
        <w:rPr>
          <w:rFonts w:ascii="Times New Roman" w:hAnsi="Times New Roman" w:cs="Times New Roman"/>
          <w:sz w:val="24"/>
          <w:szCs w:val="24"/>
        </w:rPr>
        <w:t>í.</w:t>
      </w:r>
    </w:p>
    <w:p w:rsidR="00B360D3"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O předání a převzetí řádně zhotoveného díla nebo jeho části bude sepsán </w:t>
      </w:r>
      <w:r w:rsidRPr="0014624E">
        <w:rPr>
          <w:rFonts w:ascii="Times New Roman" w:hAnsi="Times New Roman" w:cs="Times New Roman"/>
          <w:sz w:val="24"/>
          <w:szCs w:val="24"/>
        </w:rPr>
        <w:t>„Protokol o předání a převzetí díla“,</w:t>
      </w:r>
      <w:r>
        <w:rPr>
          <w:rFonts w:ascii="Times New Roman" w:hAnsi="Times New Roman" w:cs="Times New Roman"/>
          <w:sz w:val="24"/>
          <w:szCs w:val="24"/>
        </w:rPr>
        <w:t xml:space="preserve"> který podepíší zástupci obou smluvních stran a jehož jedno vyhotovení obdrží každá ze stran. Za den předání a převzetí díla se považuje den podpisu protokolu zástupci obou smluvních stran. </w:t>
      </w:r>
    </w:p>
    <w:p w:rsidR="00B360D3"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případě zjištěných vad bude vyhotoven </w:t>
      </w:r>
      <w:r w:rsidRPr="0014624E">
        <w:rPr>
          <w:rFonts w:ascii="Times New Roman" w:hAnsi="Times New Roman" w:cs="Times New Roman"/>
          <w:sz w:val="24"/>
          <w:szCs w:val="24"/>
        </w:rPr>
        <w:t>protokol s jejich specifika</w:t>
      </w:r>
      <w:r>
        <w:rPr>
          <w:rFonts w:ascii="Times New Roman" w:hAnsi="Times New Roman" w:cs="Times New Roman"/>
          <w:sz w:val="24"/>
          <w:szCs w:val="24"/>
        </w:rPr>
        <w:t xml:space="preserve">cí a termínem jejich odstranění, v případě zjištěných vad není objednatel povinen dílo převzít. </w:t>
      </w:r>
    </w:p>
    <w:p w:rsidR="00B360D3"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Převzetím nabývá objednatel vlastnické právo k dílu a zároveň na objednatele převzetím přechází nebezpeční škody na díle.</w:t>
      </w:r>
    </w:p>
    <w:p w:rsidR="00B360D3" w:rsidRPr="00E25ECA" w:rsidRDefault="00B360D3" w:rsidP="003A4504">
      <w:pPr>
        <w:pStyle w:val="Odstavecseseznamem"/>
        <w:spacing w:after="0" w:line="240" w:lineRule="auto"/>
        <w:ind w:left="426" w:hanging="426"/>
        <w:jc w:val="both"/>
        <w:rPr>
          <w:rFonts w:ascii="Times New Roman" w:hAnsi="Times New Roman" w:cs="Times New Roman"/>
          <w:sz w:val="24"/>
          <w:szCs w:val="24"/>
        </w:rPr>
      </w:pPr>
    </w:p>
    <w:p w:rsidR="00B360D3" w:rsidRPr="00E25ECA" w:rsidRDefault="00B360D3" w:rsidP="00B360D3">
      <w:pPr>
        <w:pStyle w:val="Odstavecseseznamem"/>
        <w:numPr>
          <w:ilvl w:val="0"/>
          <w:numId w:val="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ODPOVĚDNOST ZA VADY, ZÁRU</w:t>
      </w:r>
      <w:r w:rsidRPr="00E25ECA">
        <w:rPr>
          <w:rFonts w:ascii="Times New Roman" w:hAnsi="Times New Roman" w:cs="Times New Roman"/>
          <w:b/>
          <w:sz w:val="24"/>
          <w:szCs w:val="24"/>
        </w:rPr>
        <w:t>ČNÍ PODMÍNKY</w:t>
      </w:r>
    </w:p>
    <w:p w:rsidR="00B360D3" w:rsidRDefault="00B360D3" w:rsidP="00B360D3">
      <w:pPr>
        <w:spacing w:after="0" w:line="240" w:lineRule="auto"/>
        <w:jc w:val="both"/>
        <w:rPr>
          <w:rFonts w:ascii="Times New Roman" w:hAnsi="Times New Roman" w:cs="Times New Roman"/>
          <w:sz w:val="24"/>
          <w:szCs w:val="24"/>
        </w:rPr>
      </w:pPr>
    </w:p>
    <w:p w:rsidR="00B360D3" w:rsidRPr="00CD47C2"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sidRPr="00CD47C2">
        <w:rPr>
          <w:rFonts w:ascii="Times New Roman" w:hAnsi="Times New Roman" w:cs="Times New Roman"/>
          <w:sz w:val="24"/>
          <w:szCs w:val="20"/>
        </w:rPr>
        <w:t>Objednatel je povinen reklamovat zjevné vady kvality a rozsahu prací dle možnost</w:t>
      </w:r>
      <w:r w:rsidR="003A4504">
        <w:rPr>
          <w:rFonts w:ascii="Times New Roman" w:hAnsi="Times New Roman" w:cs="Times New Roman"/>
          <w:sz w:val="24"/>
          <w:szCs w:val="20"/>
        </w:rPr>
        <w:t>í okamžitě při jejich zjištění</w:t>
      </w:r>
      <w:r w:rsidRPr="00CD47C2">
        <w:rPr>
          <w:rFonts w:ascii="Times New Roman" w:hAnsi="Times New Roman" w:cs="Times New Roman"/>
          <w:sz w:val="24"/>
          <w:szCs w:val="20"/>
        </w:rPr>
        <w:t>. Zhotovitel však neodpovídá za vady vzniklé nedodržením podmínek při provozu zařízení nebo jeho provozem. Zhotovitel odpovídá za vady díla, jež jsou patrné při převzetí nebo se objeví během záruční doby, pokud byly způsobeny porušením jeho povinností nebo neodstranil po jejich urgenci objednatelem při předání. Zhotovitel je povinen tyto vady odstranit na své náklady.</w:t>
      </w:r>
    </w:p>
    <w:p w:rsidR="00B360D3"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Zhotovitel rovněž odpovídá za vícenáklady, které vzniknou objednateli vadou díla z důvodu porušení povinností zhotovitele vyplývajících z této smlouvy. </w:t>
      </w:r>
    </w:p>
    <w:p w:rsidR="00B360D3" w:rsidRDefault="00B360D3" w:rsidP="00B360D3">
      <w:pPr>
        <w:spacing w:after="0" w:line="240" w:lineRule="auto"/>
        <w:jc w:val="both"/>
        <w:rPr>
          <w:rFonts w:ascii="Times New Roman" w:hAnsi="Times New Roman" w:cs="Times New Roman"/>
          <w:sz w:val="24"/>
          <w:szCs w:val="24"/>
        </w:rPr>
      </w:pPr>
    </w:p>
    <w:p w:rsidR="00B360D3" w:rsidRPr="00480387" w:rsidRDefault="00B360D3" w:rsidP="00B360D3">
      <w:pPr>
        <w:pStyle w:val="Odstavecseseznamem"/>
        <w:numPr>
          <w:ilvl w:val="0"/>
          <w:numId w:val="4"/>
        </w:numPr>
        <w:spacing w:after="0" w:line="240" w:lineRule="auto"/>
        <w:jc w:val="center"/>
        <w:rPr>
          <w:rFonts w:ascii="Times New Roman" w:hAnsi="Times New Roman" w:cs="Times New Roman"/>
          <w:b/>
          <w:sz w:val="24"/>
          <w:szCs w:val="24"/>
        </w:rPr>
      </w:pPr>
      <w:r w:rsidRPr="00480387">
        <w:rPr>
          <w:rFonts w:ascii="Times New Roman" w:hAnsi="Times New Roman" w:cs="Times New Roman"/>
          <w:b/>
          <w:sz w:val="24"/>
          <w:szCs w:val="24"/>
        </w:rPr>
        <w:t>SMLUVNÍ SANKCE</w:t>
      </w:r>
    </w:p>
    <w:p w:rsidR="00B360D3" w:rsidRDefault="00B360D3" w:rsidP="00B360D3">
      <w:pPr>
        <w:spacing w:after="0" w:line="240" w:lineRule="auto"/>
        <w:rPr>
          <w:rFonts w:ascii="Times New Roman" w:hAnsi="Times New Roman" w:cs="Times New Roman"/>
          <w:b/>
          <w:sz w:val="24"/>
          <w:szCs w:val="24"/>
        </w:rPr>
      </w:pPr>
    </w:p>
    <w:p w:rsidR="00B360D3" w:rsidRPr="003A4504" w:rsidRDefault="00B360D3" w:rsidP="003A4504">
      <w:pPr>
        <w:pStyle w:val="Odstavecseseznamem"/>
        <w:numPr>
          <w:ilvl w:val="1"/>
          <w:numId w:val="27"/>
        </w:numPr>
        <w:spacing w:after="0" w:line="240" w:lineRule="auto"/>
        <w:ind w:left="426" w:hanging="426"/>
        <w:jc w:val="both"/>
        <w:rPr>
          <w:rFonts w:ascii="Times New Roman" w:hAnsi="Times New Roman" w:cs="Times New Roman"/>
          <w:sz w:val="24"/>
          <w:szCs w:val="24"/>
        </w:rPr>
      </w:pPr>
      <w:r w:rsidRPr="003A4504">
        <w:rPr>
          <w:rFonts w:ascii="Times New Roman" w:hAnsi="Times New Roman" w:cs="Times New Roman"/>
          <w:sz w:val="24"/>
          <w:szCs w:val="24"/>
        </w:rPr>
        <w:t xml:space="preserve">Smluvní strany se dohodly, že v případě prodlení zhotovitele s plněním dle této smlouvy je zhotovitel povinen zaplatit objednateli smluvní pokutu ve výši 0,2 % z ceny díla včetně DPH za každý i započatý den prodlení. </w:t>
      </w:r>
    </w:p>
    <w:p w:rsidR="00B360D3" w:rsidRPr="003A4504" w:rsidRDefault="00B360D3" w:rsidP="003A4504">
      <w:pPr>
        <w:pStyle w:val="Odstavecseseznamem"/>
        <w:numPr>
          <w:ilvl w:val="1"/>
          <w:numId w:val="27"/>
        </w:numPr>
        <w:spacing w:after="0" w:line="240" w:lineRule="auto"/>
        <w:ind w:left="426" w:hanging="426"/>
        <w:jc w:val="both"/>
        <w:rPr>
          <w:rFonts w:ascii="Times New Roman" w:hAnsi="Times New Roman" w:cs="Times New Roman"/>
          <w:sz w:val="24"/>
          <w:szCs w:val="24"/>
        </w:rPr>
      </w:pPr>
      <w:r w:rsidRPr="003A4504">
        <w:rPr>
          <w:rFonts w:ascii="Times New Roman" w:hAnsi="Times New Roman" w:cs="Times New Roman"/>
          <w:sz w:val="24"/>
          <w:szCs w:val="24"/>
        </w:rPr>
        <w:lastRenderedPageBreak/>
        <w:t xml:space="preserve">Zaplacením smluvní pokuty není dotčeno právo objednatele na náhradu škody. </w:t>
      </w:r>
    </w:p>
    <w:p w:rsidR="00B360D3" w:rsidRPr="003A4504" w:rsidRDefault="00B360D3" w:rsidP="003A4504">
      <w:pPr>
        <w:pStyle w:val="Odstavecseseznamem"/>
        <w:numPr>
          <w:ilvl w:val="1"/>
          <w:numId w:val="27"/>
        </w:numPr>
        <w:spacing w:after="0" w:line="240" w:lineRule="auto"/>
        <w:ind w:left="426" w:hanging="426"/>
        <w:jc w:val="both"/>
        <w:rPr>
          <w:rFonts w:ascii="Times New Roman" w:hAnsi="Times New Roman" w:cs="Times New Roman"/>
          <w:sz w:val="24"/>
          <w:szCs w:val="24"/>
        </w:rPr>
      </w:pPr>
      <w:r w:rsidRPr="003A4504">
        <w:rPr>
          <w:rFonts w:ascii="Times New Roman" w:hAnsi="Times New Roman" w:cs="Times New Roman"/>
          <w:sz w:val="24"/>
          <w:szCs w:val="24"/>
        </w:rPr>
        <w:t xml:space="preserve">V případě prodlení objednatele s úhradou odměny zhotovitele dle článku 4 této smlouvy, je objednatel povinen uhradit zhotoviteli smluvní pokutu ve výši 0,2 % z ceny díla včetně DPH za každý i započatý den prodlení.  </w:t>
      </w:r>
    </w:p>
    <w:p w:rsidR="00B360D3" w:rsidRDefault="00B360D3" w:rsidP="00B360D3">
      <w:pPr>
        <w:spacing w:after="0" w:line="240" w:lineRule="auto"/>
        <w:ind w:left="720"/>
        <w:jc w:val="both"/>
        <w:rPr>
          <w:rFonts w:ascii="Times New Roman" w:hAnsi="Times New Roman" w:cs="Times New Roman"/>
          <w:sz w:val="24"/>
          <w:szCs w:val="24"/>
        </w:rPr>
      </w:pPr>
    </w:p>
    <w:p w:rsidR="00B360D3" w:rsidRPr="00CD7E77" w:rsidRDefault="00B360D3" w:rsidP="00B360D3">
      <w:pPr>
        <w:spacing w:after="0" w:line="240" w:lineRule="auto"/>
        <w:ind w:left="227"/>
        <w:jc w:val="both"/>
        <w:rPr>
          <w:rFonts w:ascii="Times New Roman" w:hAnsi="Times New Roman" w:cs="Times New Roman"/>
          <w:sz w:val="24"/>
          <w:szCs w:val="24"/>
        </w:rPr>
      </w:pPr>
    </w:p>
    <w:p w:rsidR="00B360D3" w:rsidRDefault="00B360D3" w:rsidP="00B360D3">
      <w:pPr>
        <w:pStyle w:val="Odstavecseseznamem"/>
        <w:numPr>
          <w:ilvl w:val="0"/>
          <w:numId w:val="4"/>
        </w:numPr>
        <w:spacing w:after="0" w:line="240" w:lineRule="auto"/>
        <w:jc w:val="center"/>
        <w:rPr>
          <w:rFonts w:ascii="Times New Roman" w:hAnsi="Times New Roman" w:cs="Times New Roman"/>
          <w:b/>
          <w:sz w:val="24"/>
          <w:szCs w:val="24"/>
        </w:rPr>
      </w:pPr>
      <w:r w:rsidRPr="000D461A">
        <w:rPr>
          <w:rFonts w:ascii="Times New Roman" w:hAnsi="Times New Roman" w:cs="Times New Roman"/>
          <w:b/>
          <w:sz w:val="24"/>
          <w:szCs w:val="24"/>
        </w:rPr>
        <w:t>UKONČENÍ SMLOUVY</w:t>
      </w:r>
    </w:p>
    <w:p w:rsidR="00B360D3" w:rsidRDefault="00B360D3" w:rsidP="00B360D3">
      <w:pPr>
        <w:pStyle w:val="Odstavecseseznamem"/>
        <w:tabs>
          <w:tab w:val="left" w:pos="273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B360D3" w:rsidRDefault="00B360D3" w:rsidP="003A4504">
      <w:pPr>
        <w:pStyle w:val="Odstavecseseznamem"/>
        <w:numPr>
          <w:ilvl w:val="1"/>
          <w:numId w:val="27"/>
        </w:numPr>
        <w:spacing w:after="0" w:line="240" w:lineRule="auto"/>
        <w:ind w:left="426" w:hanging="426"/>
        <w:jc w:val="both"/>
        <w:rPr>
          <w:rFonts w:ascii="Times New Roman" w:hAnsi="Times New Roman" w:cs="Times New Roman"/>
          <w:sz w:val="24"/>
          <w:szCs w:val="24"/>
        </w:rPr>
      </w:pPr>
      <w:r w:rsidRPr="000D461A">
        <w:rPr>
          <w:rFonts w:ascii="Times New Roman" w:hAnsi="Times New Roman" w:cs="Times New Roman"/>
          <w:sz w:val="24"/>
          <w:szCs w:val="24"/>
        </w:rPr>
        <w:t xml:space="preserve">Smluvní strany mohou ukončit tuto smlouvu písemnou dohodou nebo odstoupením od smlouvy. </w:t>
      </w:r>
    </w:p>
    <w:p w:rsidR="00B360D3" w:rsidRPr="000D461A" w:rsidRDefault="00B360D3" w:rsidP="003A4504">
      <w:pPr>
        <w:pStyle w:val="Odstavecseseznamem"/>
        <w:numPr>
          <w:ilvl w:val="1"/>
          <w:numId w:val="2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Mimo jiných </w:t>
      </w:r>
      <w:r w:rsidRPr="000D461A">
        <w:rPr>
          <w:rFonts w:ascii="Times New Roman" w:hAnsi="Times New Roman" w:cs="Times New Roman"/>
          <w:sz w:val="24"/>
          <w:szCs w:val="24"/>
        </w:rPr>
        <w:t xml:space="preserve">případů uvedených v této smlouvě nebo příslušných ustanoveních </w:t>
      </w:r>
      <w:r>
        <w:rPr>
          <w:rFonts w:ascii="Times New Roman" w:hAnsi="Times New Roman" w:cs="Times New Roman"/>
          <w:sz w:val="24"/>
          <w:szCs w:val="24"/>
        </w:rPr>
        <w:t>OZ</w:t>
      </w:r>
      <w:r w:rsidRPr="000D461A">
        <w:rPr>
          <w:rFonts w:ascii="Times New Roman" w:hAnsi="Times New Roman" w:cs="Times New Roman"/>
          <w:sz w:val="24"/>
          <w:szCs w:val="24"/>
        </w:rPr>
        <w:t>, jsou smluvní strany oprávněny odstoupit od této smlouvy v případech jejího podstatného porušení druhou smluvní stranou. Podstatným porušením smlouvy se rozumí zejména, nikoliv však pouze:</w:t>
      </w:r>
    </w:p>
    <w:p w:rsidR="003A4504" w:rsidRDefault="00B360D3" w:rsidP="003A4504">
      <w:pPr>
        <w:pStyle w:val="Odstavecseseznamem"/>
        <w:numPr>
          <w:ilvl w:val="2"/>
          <w:numId w:val="31"/>
        </w:numPr>
        <w:spacing w:after="0" w:line="240" w:lineRule="auto"/>
        <w:ind w:left="1418" w:hanging="992"/>
        <w:jc w:val="both"/>
        <w:rPr>
          <w:rFonts w:ascii="Times New Roman" w:hAnsi="Times New Roman" w:cs="Times New Roman"/>
          <w:sz w:val="24"/>
          <w:szCs w:val="24"/>
        </w:rPr>
      </w:pPr>
      <w:r w:rsidRPr="003A4504">
        <w:rPr>
          <w:rFonts w:ascii="Times New Roman" w:hAnsi="Times New Roman" w:cs="Times New Roman"/>
          <w:sz w:val="24"/>
          <w:szCs w:val="24"/>
        </w:rPr>
        <w:t>zhotovitel opakovaně provádí dílo vadně, ačkoli byl na vadnost upozorněn objednatelem</w:t>
      </w:r>
    </w:p>
    <w:p w:rsidR="00B360D3" w:rsidRPr="003A4504" w:rsidRDefault="00B360D3" w:rsidP="003A4504">
      <w:pPr>
        <w:pStyle w:val="Odstavecseseznamem"/>
        <w:numPr>
          <w:ilvl w:val="2"/>
          <w:numId w:val="31"/>
        </w:numPr>
        <w:spacing w:after="0" w:line="240" w:lineRule="auto"/>
        <w:ind w:left="1418" w:hanging="992"/>
        <w:jc w:val="both"/>
        <w:rPr>
          <w:rFonts w:ascii="Times New Roman" w:hAnsi="Times New Roman" w:cs="Times New Roman"/>
          <w:sz w:val="24"/>
          <w:szCs w:val="24"/>
        </w:rPr>
      </w:pPr>
      <w:r w:rsidRPr="003A4504">
        <w:rPr>
          <w:rFonts w:ascii="Times New Roman" w:hAnsi="Times New Roman" w:cs="Times New Roman"/>
          <w:sz w:val="24"/>
          <w:szCs w:val="24"/>
        </w:rPr>
        <w:t>neuhrazení ceny za dílo objednatelem po druhé výzvě zhotovitele k uhrazení dlužné částky, přičemž druhá výzva nesmí následovat dříve než 30 dnů po doručení první výzvy,</w:t>
      </w:r>
    </w:p>
    <w:p w:rsidR="00B360D3" w:rsidRDefault="00B360D3" w:rsidP="003A4504">
      <w:pPr>
        <w:pStyle w:val="Odstavecseseznamem"/>
        <w:numPr>
          <w:ilvl w:val="2"/>
          <w:numId w:val="31"/>
        </w:numPr>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z</w:t>
      </w:r>
      <w:r w:rsidRPr="000D461A">
        <w:rPr>
          <w:rFonts w:ascii="Times New Roman" w:hAnsi="Times New Roman" w:cs="Times New Roman"/>
          <w:sz w:val="24"/>
          <w:szCs w:val="24"/>
        </w:rPr>
        <w:t xml:space="preserve">hotovitel </w:t>
      </w:r>
      <w:r>
        <w:rPr>
          <w:rFonts w:ascii="Times New Roman" w:hAnsi="Times New Roman" w:cs="Times New Roman"/>
          <w:sz w:val="24"/>
          <w:szCs w:val="24"/>
        </w:rPr>
        <w:t xml:space="preserve">nebo objednatel </w:t>
      </w:r>
      <w:r w:rsidRPr="000D461A">
        <w:rPr>
          <w:rFonts w:ascii="Times New Roman" w:hAnsi="Times New Roman" w:cs="Times New Roman"/>
          <w:sz w:val="24"/>
          <w:szCs w:val="24"/>
        </w:rPr>
        <w:t>podal insolvenční návrh jako dlužník,</w:t>
      </w:r>
    </w:p>
    <w:p w:rsidR="00B360D3" w:rsidRPr="00A82233" w:rsidRDefault="00B360D3" w:rsidP="003A4504">
      <w:pPr>
        <w:pStyle w:val="Odstavecseseznamem"/>
        <w:numPr>
          <w:ilvl w:val="2"/>
          <w:numId w:val="31"/>
        </w:numPr>
        <w:spacing w:after="0" w:line="240" w:lineRule="auto"/>
        <w:ind w:left="426" w:firstLine="0"/>
        <w:jc w:val="both"/>
        <w:rPr>
          <w:rFonts w:ascii="Times New Roman" w:hAnsi="Times New Roman" w:cs="Times New Roman"/>
          <w:sz w:val="24"/>
          <w:szCs w:val="24"/>
        </w:rPr>
      </w:pPr>
      <w:r w:rsidRPr="00A82233">
        <w:rPr>
          <w:rFonts w:ascii="Times New Roman" w:hAnsi="Times New Roman" w:cs="Times New Roman"/>
          <w:sz w:val="24"/>
          <w:szCs w:val="24"/>
        </w:rPr>
        <w:t>bylo vydáno rozhodnutí o úpadku zhotovitele</w:t>
      </w:r>
      <w:r>
        <w:rPr>
          <w:rFonts w:ascii="Times New Roman" w:hAnsi="Times New Roman" w:cs="Times New Roman"/>
          <w:sz w:val="24"/>
          <w:szCs w:val="24"/>
        </w:rPr>
        <w:t xml:space="preserve"> nebo objednatele </w:t>
      </w:r>
    </w:p>
    <w:p w:rsidR="00B360D3" w:rsidRDefault="00B360D3" w:rsidP="003A4504">
      <w:pPr>
        <w:pStyle w:val="Odstavecseseznamem"/>
        <w:numPr>
          <w:ilvl w:val="1"/>
          <w:numId w:val="27"/>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Odstoupí</w:t>
      </w:r>
      <w:r w:rsidRPr="000D461A">
        <w:rPr>
          <w:rFonts w:ascii="Times New Roman" w:hAnsi="Times New Roman" w:cs="Times New Roman"/>
          <w:sz w:val="24"/>
          <w:szCs w:val="24"/>
        </w:rPr>
        <w:t xml:space="preserve">-li některá ze </w:t>
      </w:r>
      <w:r>
        <w:rPr>
          <w:rFonts w:ascii="Times New Roman" w:hAnsi="Times New Roman" w:cs="Times New Roman"/>
          <w:sz w:val="24"/>
          <w:szCs w:val="24"/>
        </w:rPr>
        <w:t xml:space="preserve">smluvních </w:t>
      </w:r>
      <w:r w:rsidRPr="000D461A">
        <w:rPr>
          <w:rFonts w:ascii="Times New Roman" w:hAnsi="Times New Roman" w:cs="Times New Roman"/>
          <w:sz w:val="24"/>
          <w:szCs w:val="24"/>
        </w:rPr>
        <w:t>stran od této smlouvy,</w:t>
      </w:r>
      <w:r>
        <w:rPr>
          <w:rFonts w:ascii="Times New Roman" w:hAnsi="Times New Roman" w:cs="Times New Roman"/>
          <w:sz w:val="24"/>
          <w:szCs w:val="24"/>
        </w:rPr>
        <w:t xml:space="preserve"> je povinna oznámit odstoupení druhé smluvní straně písemně bez zbytečného odkladu poté, co se dozvěděla o možnosti od smlouvy odstoupit. </w:t>
      </w:r>
    </w:p>
    <w:p w:rsidR="00B360D3" w:rsidRDefault="00B360D3" w:rsidP="003A4504">
      <w:pPr>
        <w:pStyle w:val="Odstavecseseznamem"/>
        <w:numPr>
          <w:ilvl w:val="1"/>
          <w:numId w:val="27"/>
        </w:numPr>
        <w:spacing w:after="0"/>
        <w:ind w:left="426" w:hanging="426"/>
        <w:jc w:val="both"/>
        <w:rPr>
          <w:rFonts w:ascii="Times New Roman" w:hAnsi="Times New Roman" w:cs="Times New Roman"/>
          <w:sz w:val="24"/>
          <w:szCs w:val="24"/>
        </w:rPr>
      </w:pPr>
      <w:r w:rsidRPr="000D461A">
        <w:rPr>
          <w:rFonts w:ascii="Times New Roman" w:hAnsi="Times New Roman" w:cs="Times New Roman"/>
          <w:sz w:val="24"/>
          <w:szCs w:val="24"/>
        </w:rPr>
        <w:t> </w:t>
      </w:r>
      <w:r>
        <w:rPr>
          <w:rFonts w:ascii="Times New Roman" w:hAnsi="Times New Roman" w:cs="Times New Roman"/>
          <w:sz w:val="24"/>
          <w:szCs w:val="24"/>
        </w:rPr>
        <w:t xml:space="preserve">Odstoupením od smlouvy, tj. doručením písemného oznámení o odstoupení druhé smluvní straně, smlouva zaniká. Odstoupení od smlouvy se nedotýká práva na zaplacení smluvní pokuty nebo úroky z prodlení, pokud již dospěl, práva na náhradu škody vzniklé z porušení smluvní povinnosti ani ujednání, které má vzhledem ke své povaze zavazovat strany i po odstoupení od smlouvy. </w:t>
      </w:r>
    </w:p>
    <w:p w:rsidR="00B360D3" w:rsidRDefault="00B360D3" w:rsidP="003A4504">
      <w:pPr>
        <w:spacing w:after="0"/>
        <w:ind w:hanging="426"/>
        <w:rPr>
          <w:rFonts w:ascii="Times New Roman" w:hAnsi="Times New Roman" w:cs="Times New Roman"/>
          <w:sz w:val="24"/>
          <w:szCs w:val="24"/>
        </w:rPr>
      </w:pPr>
    </w:p>
    <w:p w:rsidR="00B360D3" w:rsidRDefault="00B360D3" w:rsidP="00B360D3">
      <w:pPr>
        <w:pStyle w:val="Odstavecseseznamem"/>
        <w:numPr>
          <w:ilvl w:val="0"/>
          <w:numId w:val="4"/>
        </w:numPr>
        <w:spacing w:after="0"/>
        <w:jc w:val="center"/>
        <w:rPr>
          <w:rFonts w:ascii="Times New Roman" w:hAnsi="Times New Roman" w:cs="Times New Roman"/>
          <w:b/>
          <w:sz w:val="24"/>
          <w:szCs w:val="24"/>
        </w:rPr>
      </w:pPr>
      <w:r w:rsidRPr="00744CF3">
        <w:rPr>
          <w:rFonts w:ascii="Times New Roman" w:hAnsi="Times New Roman" w:cs="Times New Roman"/>
          <w:b/>
          <w:sz w:val="24"/>
          <w:szCs w:val="24"/>
        </w:rPr>
        <w:t>ZÁVĚREČNÁ USTANOVENÍ</w:t>
      </w:r>
    </w:p>
    <w:p w:rsidR="00B360D3" w:rsidRDefault="00B360D3" w:rsidP="00B360D3">
      <w:pPr>
        <w:spacing w:after="0"/>
        <w:rPr>
          <w:rFonts w:ascii="Times New Roman" w:hAnsi="Times New Roman" w:cs="Times New Roman"/>
          <w:b/>
          <w:sz w:val="24"/>
          <w:szCs w:val="24"/>
        </w:rPr>
      </w:pPr>
    </w:p>
    <w:p w:rsidR="00B360D3" w:rsidRDefault="00B360D3" w:rsidP="003A4504">
      <w:pPr>
        <w:pStyle w:val="Smlouva2"/>
        <w:numPr>
          <w:ilvl w:val="1"/>
          <w:numId w:val="27"/>
        </w:numPr>
        <w:spacing w:before="0"/>
        <w:ind w:left="567" w:hanging="567"/>
        <w:jc w:val="both"/>
        <w:rPr>
          <w:b w:val="0"/>
        </w:rPr>
      </w:pPr>
      <w:r w:rsidRPr="00C2730A">
        <w:rPr>
          <w:b w:val="0"/>
        </w:rPr>
        <w:t xml:space="preserve">Smluvní strany prohlašují, že předmět plnění podle této smlouvy není plněním nemožným a že smlouvu uzavírají po pečlivém zvážení všech možných důsledků. </w:t>
      </w:r>
    </w:p>
    <w:p w:rsidR="00B360D3" w:rsidRDefault="00B360D3" w:rsidP="003A4504">
      <w:pPr>
        <w:pStyle w:val="Smlouva2"/>
        <w:numPr>
          <w:ilvl w:val="1"/>
          <w:numId w:val="27"/>
        </w:numPr>
        <w:spacing w:before="0"/>
        <w:ind w:left="567" w:hanging="567"/>
        <w:jc w:val="both"/>
        <w:rPr>
          <w:b w:val="0"/>
        </w:rPr>
      </w:pPr>
      <w:r>
        <w:rPr>
          <w:b w:val="0"/>
        </w:rPr>
        <w:t xml:space="preserve">Změnit nebo doplnit tuto smlouvu mohou smluvní strany </w:t>
      </w:r>
      <w:r w:rsidRPr="00A82233">
        <w:rPr>
          <w:b w:val="0"/>
        </w:rPr>
        <w:t>pouze formou písemných dodatků, které budou vzestupně číslovány, výslovně prohlášeny za dodatek této smlouvy a podepsány oprávněnými zástupci smluvních stran.</w:t>
      </w:r>
    </w:p>
    <w:p w:rsidR="00B360D3" w:rsidRDefault="00B360D3" w:rsidP="003A4504">
      <w:pPr>
        <w:pStyle w:val="Smlouva2"/>
        <w:numPr>
          <w:ilvl w:val="1"/>
          <w:numId w:val="27"/>
        </w:numPr>
        <w:spacing w:before="0"/>
        <w:ind w:left="567" w:hanging="567"/>
        <w:jc w:val="both"/>
        <w:rPr>
          <w:b w:val="0"/>
        </w:rPr>
      </w:pPr>
      <w:r>
        <w:rPr>
          <w:b w:val="0"/>
        </w:rPr>
        <w:t xml:space="preserve">Tato smlouva nabývá </w:t>
      </w:r>
      <w:r w:rsidRPr="00A82233">
        <w:rPr>
          <w:b w:val="0"/>
        </w:rPr>
        <w:t>platnosti a účinnosti dnem jejího podpisu oběma smluvními stranami</w:t>
      </w:r>
      <w:r>
        <w:rPr>
          <w:b w:val="0"/>
        </w:rPr>
        <w:t>.</w:t>
      </w:r>
    </w:p>
    <w:p w:rsidR="00B360D3" w:rsidRDefault="00B360D3" w:rsidP="003A4504">
      <w:pPr>
        <w:pStyle w:val="Smlouva2"/>
        <w:numPr>
          <w:ilvl w:val="1"/>
          <w:numId w:val="27"/>
        </w:numPr>
        <w:spacing w:before="0"/>
        <w:ind w:left="567" w:hanging="567"/>
        <w:jc w:val="both"/>
        <w:rPr>
          <w:b w:val="0"/>
        </w:rPr>
      </w:pPr>
      <w:r>
        <w:rPr>
          <w:b w:val="0"/>
        </w:rPr>
        <w:t>Tato s</w:t>
      </w:r>
      <w:r w:rsidRPr="00A82233">
        <w:rPr>
          <w:b w:val="0"/>
        </w:rPr>
        <w:t>mlouva se řídí právními předpisy České republiky a je vykládána v souladu s</w:t>
      </w:r>
      <w:r>
        <w:rPr>
          <w:b w:val="0"/>
        </w:rPr>
        <w:t> </w:t>
      </w:r>
      <w:r w:rsidRPr="00A82233">
        <w:rPr>
          <w:b w:val="0"/>
        </w:rPr>
        <w:t>nimi</w:t>
      </w:r>
      <w:r>
        <w:rPr>
          <w:b w:val="0"/>
        </w:rPr>
        <w:t>.</w:t>
      </w:r>
    </w:p>
    <w:p w:rsidR="00D137A2" w:rsidRDefault="00D137A2" w:rsidP="00D137A2">
      <w:pPr>
        <w:pStyle w:val="Smlouva2"/>
        <w:numPr>
          <w:ilvl w:val="1"/>
          <w:numId w:val="27"/>
        </w:numPr>
        <w:spacing w:before="0"/>
        <w:ind w:left="567" w:hanging="567"/>
        <w:jc w:val="both"/>
        <w:rPr>
          <w:b w:val="0"/>
        </w:rPr>
      </w:pPr>
      <w:r w:rsidRPr="00D137A2">
        <w:rPr>
          <w:b w:val="0"/>
        </w:rPr>
        <w:t>Smluvní strany výslovně sjednávají, že uveřejnění této smlouvy v registru smluv dle zákona č. 340/2015 Sb., o zvláštních podmínkách účinnosti některých smluv, uveřejňování těchto smluv a o registru smluv (zákon o registru smluv) zajistí objednatel. Zhotovitel je seznámen se skutečností, že poskytnutí těchto informací se dle citovaných zákonů nepovažuje za porušení obchodního tajemství a s jejich zveřejněním tímto vyslovuje svůj souhlas.</w:t>
      </w:r>
    </w:p>
    <w:p w:rsidR="00B360D3" w:rsidRDefault="00B360D3" w:rsidP="003A4504">
      <w:pPr>
        <w:pStyle w:val="Smlouva2"/>
        <w:numPr>
          <w:ilvl w:val="1"/>
          <w:numId w:val="27"/>
        </w:numPr>
        <w:spacing w:before="0"/>
        <w:ind w:left="567" w:hanging="567"/>
        <w:jc w:val="both"/>
        <w:rPr>
          <w:b w:val="0"/>
        </w:rPr>
      </w:pPr>
      <w:r>
        <w:rPr>
          <w:b w:val="0"/>
        </w:rPr>
        <w:t xml:space="preserve">Smluvní </w:t>
      </w:r>
      <w:r w:rsidRPr="00A82233">
        <w:rPr>
          <w:b w:val="0"/>
        </w:rPr>
        <w:t xml:space="preserve">strany se dohodly, že všechny spory vyplývající z této Smlouvy nebo spory o existenci této Smlouvy (včetně otázky vzniku a platnosti této Smlouvy) budou rozhodovány s konečnou platností před věcně a místně příslušným soudem České </w:t>
      </w:r>
      <w:r w:rsidRPr="00A82233">
        <w:rPr>
          <w:b w:val="0"/>
        </w:rPr>
        <w:lastRenderedPageBreak/>
        <w:t>republiky, případně před příslušným soudním orgánem jiného státu, pakliže bude takový soudní orgán k rozhodnutí sporu příslušný.</w:t>
      </w:r>
    </w:p>
    <w:p w:rsidR="00B360D3" w:rsidRPr="00C71154" w:rsidRDefault="00B360D3" w:rsidP="003A4504">
      <w:pPr>
        <w:pStyle w:val="Smlouva2"/>
        <w:numPr>
          <w:ilvl w:val="1"/>
          <w:numId w:val="27"/>
        </w:numPr>
        <w:spacing w:before="0"/>
        <w:ind w:left="567" w:hanging="567"/>
        <w:jc w:val="both"/>
        <w:rPr>
          <w:b w:val="0"/>
        </w:rPr>
      </w:pPr>
      <w:r w:rsidRPr="00C71154">
        <w:rPr>
          <w:b w:val="0"/>
        </w:rPr>
        <w:t xml:space="preserve">Tato smlouva je vyhotovena ve </w:t>
      </w:r>
      <w:r>
        <w:rPr>
          <w:b w:val="0"/>
        </w:rPr>
        <w:t>dvou s</w:t>
      </w:r>
      <w:r w:rsidRPr="00C71154">
        <w:rPr>
          <w:b w:val="0"/>
        </w:rPr>
        <w:t xml:space="preserve">tejnopisech s platností originálu, přičemž objednatel </w:t>
      </w:r>
      <w:r>
        <w:rPr>
          <w:b w:val="0"/>
        </w:rPr>
        <w:t>jeden</w:t>
      </w:r>
      <w:r w:rsidRPr="00C71154">
        <w:rPr>
          <w:b w:val="0"/>
        </w:rPr>
        <w:t xml:space="preserve"> a zhotovitel jeden. </w:t>
      </w:r>
    </w:p>
    <w:p w:rsidR="00B360D3" w:rsidRPr="00A82233" w:rsidRDefault="00B360D3" w:rsidP="003A4504">
      <w:pPr>
        <w:pStyle w:val="Smlouva2"/>
        <w:numPr>
          <w:ilvl w:val="1"/>
          <w:numId w:val="27"/>
        </w:numPr>
        <w:spacing w:before="0"/>
        <w:ind w:left="567" w:hanging="567"/>
        <w:jc w:val="both"/>
        <w:rPr>
          <w:b w:val="0"/>
        </w:rPr>
      </w:pPr>
      <w:r w:rsidRPr="00A82233">
        <w:rPr>
          <w:b w:val="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B360D3" w:rsidRDefault="00B360D3" w:rsidP="00B360D3">
      <w:pPr>
        <w:spacing w:after="0"/>
        <w:rPr>
          <w:rFonts w:ascii="Times New Roman" w:hAnsi="Times New Roman" w:cs="Times New Roman"/>
          <w:b/>
          <w:sz w:val="24"/>
          <w:szCs w:val="24"/>
        </w:rPr>
      </w:pPr>
    </w:p>
    <w:p w:rsidR="007F44DF" w:rsidRDefault="00D07F41" w:rsidP="00B360D3">
      <w:pPr>
        <w:spacing w:after="0"/>
        <w:rPr>
          <w:rFonts w:ascii="Times New Roman" w:hAnsi="Times New Roman" w:cs="Times New Roman"/>
          <w:sz w:val="24"/>
          <w:szCs w:val="24"/>
        </w:rPr>
      </w:pPr>
      <w:r>
        <w:rPr>
          <w:rFonts w:ascii="Times New Roman" w:hAnsi="Times New Roman" w:cs="Times New Roman"/>
          <w:sz w:val="24"/>
          <w:szCs w:val="24"/>
        </w:rPr>
        <w:t xml:space="preserve">Ve Všenorech </w:t>
      </w:r>
      <w:r w:rsidRPr="007764A8">
        <w:rPr>
          <w:rFonts w:ascii="Times New Roman" w:hAnsi="Times New Roman" w:cs="Times New Roman"/>
          <w:sz w:val="24"/>
          <w:szCs w:val="24"/>
        </w:rPr>
        <w:t>dne</w:t>
      </w:r>
      <w:r w:rsidR="00F02FB5">
        <w:rPr>
          <w:rFonts w:ascii="Times New Roman" w:hAnsi="Times New Roman" w:cs="Times New Roman"/>
          <w:sz w:val="24"/>
          <w:szCs w:val="24"/>
        </w:rPr>
        <w:t xml:space="preserve"> </w:t>
      </w:r>
      <w:r w:rsidR="00F02FB5" w:rsidRPr="002226A4">
        <w:rPr>
          <w:rFonts w:ascii="Times New Roman" w:hAnsi="Times New Roman" w:cs="Times New Roman"/>
          <w:sz w:val="24"/>
          <w:szCs w:val="24"/>
          <w:highlight w:val="yellow"/>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D57D4">
        <w:rPr>
          <w:rFonts w:ascii="Times New Roman" w:hAnsi="Times New Roman" w:cs="Times New Roman"/>
          <w:sz w:val="24"/>
          <w:szCs w:val="24"/>
        </w:rPr>
        <w:t xml:space="preserve">Ve </w:t>
      </w:r>
      <w:r w:rsidR="00F02FB5" w:rsidRPr="002226A4">
        <w:rPr>
          <w:rFonts w:ascii="Times New Roman" w:hAnsi="Times New Roman" w:cs="Times New Roman"/>
          <w:sz w:val="24"/>
          <w:szCs w:val="24"/>
          <w:highlight w:val="yellow"/>
        </w:rPr>
        <w:t>„…“</w:t>
      </w:r>
      <w:r w:rsidR="005D57D4" w:rsidRPr="007764A8">
        <w:rPr>
          <w:rFonts w:ascii="Times New Roman" w:hAnsi="Times New Roman" w:cs="Times New Roman"/>
          <w:sz w:val="24"/>
          <w:szCs w:val="24"/>
        </w:rPr>
        <w:t xml:space="preserve">dne </w:t>
      </w:r>
      <w:r w:rsidR="0099210A" w:rsidRPr="002226A4">
        <w:rPr>
          <w:rFonts w:ascii="Times New Roman" w:hAnsi="Times New Roman" w:cs="Times New Roman"/>
          <w:sz w:val="24"/>
          <w:szCs w:val="24"/>
          <w:highlight w:val="yellow"/>
        </w:rPr>
        <w:t>„…“</w:t>
      </w:r>
    </w:p>
    <w:p w:rsidR="00D07F41" w:rsidRDefault="00D07F41" w:rsidP="00B360D3">
      <w:pPr>
        <w:spacing w:after="0"/>
        <w:rPr>
          <w:rFonts w:ascii="Times New Roman" w:hAnsi="Times New Roman" w:cs="Times New Roman"/>
          <w:sz w:val="24"/>
          <w:szCs w:val="24"/>
        </w:rPr>
      </w:pPr>
    </w:p>
    <w:p w:rsidR="00F02FB5" w:rsidRDefault="00F02FB5" w:rsidP="00B360D3">
      <w:pPr>
        <w:spacing w:after="0"/>
        <w:rPr>
          <w:rFonts w:ascii="Times New Roman" w:hAnsi="Times New Roman" w:cs="Times New Roman"/>
          <w:sz w:val="24"/>
          <w:szCs w:val="24"/>
        </w:rPr>
      </w:pPr>
    </w:p>
    <w:p w:rsidR="00F02FB5" w:rsidRDefault="00F02FB5" w:rsidP="00B360D3">
      <w:pPr>
        <w:spacing w:after="0"/>
        <w:rPr>
          <w:rFonts w:ascii="Times New Roman" w:hAnsi="Times New Roman" w:cs="Times New Roman"/>
          <w:sz w:val="24"/>
          <w:szCs w:val="24"/>
        </w:rPr>
      </w:pPr>
    </w:p>
    <w:p w:rsidR="007F44DF" w:rsidRPr="007764A8" w:rsidRDefault="00F02FB5" w:rsidP="00B360D3">
      <w:pPr>
        <w:spacing w:after="0"/>
        <w:rPr>
          <w:rFonts w:ascii="Times New Roman" w:hAnsi="Times New Roman" w:cs="Times New Roman"/>
          <w:sz w:val="24"/>
          <w:szCs w:val="24"/>
        </w:rPr>
      </w:pPr>
      <w:r>
        <w:rPr>
          <w:rFonts w:ascii="Times New Roman" w:hAnsi="Times New Roman" w:cs="Times New Roman"/>
          <w:sz w:val="24"/>
          <w:szCs w:val="24"/>
        </w:rPr>
        <w:t>Bc. Robert Pitrák, ředitel</w:t>
      </w:r>
      <w:r w:rsidR="0099210A">
        <w:rPr>
          <w:rFonts w:ascii="Times New Roman" w:hAnsi="Times New Roman" w:cs="Times New Roman"/>
          <w:sz w:val="24"/>
          <w:szCs w:val="24"/>
        </w:rPr>
        <w:tab/>
      </w:r>
      <w:r w:rsidR="0099210A">
        <w:rPr>
          <w:rFonts w:ascii="Times New Roman" w:hAnsi="Times New Roman" w:cs="Times New Roman"/>
          <w:sz w:val="24"/>
          <w:szCs w:val="24"/>
        </w:rPr>
        <w:tab/>
      </w:r>
      <w:r w:rsidR="0099210A">
        <w:rPr>
          <w:rFonts w:ascii="Times New Roman" w:hAnsi="Times New Roman" w:cs="Times New Roman"/>
          <w:sz w:val="24"/>
          <w:szCs w:val="24"/>
        </w:rPr>
        <w:tab/>
      </w:r>
      <w:r w:rsidR="0099210A">
        <w:rPr>
          <w:rFonts w:ascii="Times New Roman" w:hAnsi="Times New Roman" w:cs="Times New Roman"/>
          <w:sz w:val="24"/>
          <w:szCs w:val="24"/>
        </w:rPr>
        <w:tab/>
      </w:r>
      <w:r w:rsidR="0099210A">
        <w:rPr>
          <w:rFonts w:ascii="Times New Roman" w:hAnsi="Times New Roman" w:cs="Times New Roman"/>
          <w:sz w:val="24"/>
          <w:szCs w:val="24"/>
        </w:rPr>
        <w:tab/>
      </w:r>
      <w:r w:rsidR="0099210A" w:rsidRPr="002226A4">
        <w:rPr>
          <w:rFonts w:ascii="Times New Roman" w:hAnsi="Times New Roman" w:cs="Times New Roman"/>
          <w:sz w:val="24"/>
          <w:szCs w:val="24"/>
          <w:highlight w:val="yellow"/>
        </w:rPr>
        <w:t>„…“</w:t>
      </w:r>
    </w:p>
    <w:p w:rsidR="00CB7B1D" w:rsidRPr="007764A8" w:rsidRDefault="00B360D3" w:rsidP="00A82233">
      <w:pPr>
        <w:spacing w:after="0"/>
        <w:rPr>
          <w:rFonts w:ascii="Times New Roman" w:hAnsi="Times New Roman" w:cs="Times New Roman"/>
          <w:sz w:val="24"/>
          <w:szCs w:val="24"/>
        </w:rPr>
      </w:pPr>
      <w:r w:rsidRPr="007764A8">
        <w:rPr>
          <w:rFonts w:ascii="Times New Roman" w:hAnsi="Times New Roman" w:cs="Times New Roman"/>
          <w:sz w:val="24"/>
          <w:szCs w:val="24"/>
        </w:rPr>
        <w:t xml:space="preserve">objednatel </w:t>
      </w:r>
      <w:r w:rsidRPr="007764A8">
        <w:rPr>
          <w:rFonts w:ascii="Times New Roman" w:hAnsi="Times New Roman" w:cs="Times New Roman"/>
          <w:sz w:val="24"/>
          <w:szCs w:val="24"/>
        </w:rPr>
        <w:tab/>
      </w:r>
      <w:r w:rsidRPr="007764A8">
        <w:rPr>
          <w:rFonts w:ascii="Times New Roman" w:hAnsi="Times New Roman" w:cs="Times New Roman"/>
          <w:sz w:val="24"/>
          <w:szCs w:val="24"/>
        </w:rPr>
        <w:tab/>
      </w:r>
      <w:r w:rsidRPr="007764A8">
        <w:rPr>
          <w:rFonts w:ascii="Times New Roman" w:hAnsi="Times New Roman" w:cs="Times New Roman"/>
          <w:sz w:val="24"/>
          <w:szCs w:val="24"/>
        </w:rPr>
        <w:tab/>
      </w:r>
      <w:r w:rsidRPr="007764A8">
        <w:rPr>
          <w:rFonts w:ascii="Times New Roman" w:hAnsi="Times New Roman" w:cs="Times New Roman"/>
          <w:sz w:val="24"/>
          <w:szCs w:val="24"/>
        </w:rPr>
        <w:tab/>
      </w:r>
      <w:r w:rsidRPr="007764A8">
        <w:rPr>
          <w:rFonts w:ascii="Times New Roman" w:hAnsi="Times New Roman" w:cs="Times New Roman"/>
          <w:sz w:val="24"/>
          <w:szCs w:val="24"/>
        </w:rPr>
        <w:tab/>
      </w:r>
      <w:r w:rsidRPr="007764A8">
        <w:rPr>
          <w:rFonts w:ascii="Times New Roman" w:hAnsi="Times New Roman" w:cs="Times New Roman"/>
          <w:sz w:val="24"/>
          <w:szCs w:val="24"/>
        </w:rPr>
        <w:tab/>
      </w:r>
      <w:r w:rsidRPr="007764A8">
        <w:rPr>
          <w:rFonts w:ascii="Times New Roman" w:hAnsi="Times New Roman" w:cs="Times New Roman"/>
          <w:sz w:val="24"/>
          <w:szCs w:val="24"/>
        </w:rPr>
        <w:tab/>
        <w:t xml:space="preserve">zhotovitel </w:t>
      </w:r>
    </w:p>
    <w:sectPr w:rsidR="00CB7B1D" w:rsidRPr="007764A8" w:rsidSect="00B977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BDD" w:rsidRDefault="00371BDD" w:rsidP="00C71154">
      <w:pPr>
        <w:spacing w:after="0" w:line="240" w:lineRule="auto"/>
      </w:pPr>
      <w:r>
        <w:separator/>
      </w:r>
    </w:p>
  </w:endnote>
  <w:endnote w:type="continuationSeparator" w:id="0">
    <w:p w:rsidR="00371BDD" w:rsidRDefault="00371BDD" w:rsidP="00C71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2762"/>
      <w:docPartObj>
        <w:docPartGallery w:val="Page Numbers (Bottom of Page)"/>
        <w:docPartUnique/>
      </w:docPartObj>
    </w:sdtPr>
    <w:sdtEndPr/>
    <w:sdtContent>
      <w:p w:rsidR="00C46EFE" w:rsidRDefault="003E78B4">
        <w:pPr>
          <w:pStyle w:val="Zpat"/>
          <w:jc w:val="right"/>
        </w:pPr>
        <w:r>
          <w:fldChar w:fldCharType="begin"/>
        </w:r>
        <w:r w:rsidR="00C46EFE">
          <w:instrText>PAGE   \* MERGEFORMAT</w:instrText>
        </w:r>
        <w:r>
          <w:fldChar w:fldCharType="separate"/>
        </w:r>
        <w:r w:rsidR="00460E27">
          <w:rPr>
            <w:noProof/>
          </w:rPr>
          <w:t>1</w:t>
        </w:r>
        <w:r>
          <w:fldChar w:fldCharType="end"/>
        </w:r>
        <w:r w:rsidR="00C46EFE">
          <w:t xml:space="preserve"> / </w:t>
        </w:r>
        <w:r w:rsidR="005D57D4">
          <w:rPr>
            <w:noProof/>
          </w:rPr>
          <w:fldChar w:fldCharType="begin"/>
        </w:r>
        <w:r w:rsidR="005D57D4">
          <w:rPr>
            <w:noProof/>
          </w:rPr>
          <w:instrText xml:space="preserve"> NUMPAGES   \* MERGEFORMAT </w:instrText>
        </w:r>
        <w:r w:rsidR="005D57D4">
          <w:rPr>
            <w:noProof/>
          </w:rPr>
          <w:fldChar w:fldCharType="separate"/>
        </w:r>
        <w:r w:rsidR="00460E27">
          <w:rPr>
            <w:noProof/>
          </w:rPr>
          <w:t>5</w:t>
        </w:r>
        <w:r w:rsidR="005D57D4">
          <w:rPr>
            <w:noProof/>
          </w:rPr>
          <w:fldChar w:fldCharType="end"/>
        </w:r>
      </w:p>
    </w:sdtContent>
  </w:sdt>
  <w:p w:rsidR="00C46EFE" w:rsidRDefault="00C46E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BDD" w:rsidRDefault="00371BDD" w:rsidP="00C71154">
      <w:pPr>
        <w:spacing w:after="0" w:line="240" w:lineRule="auto"/>
      </w:pPr>
      <w:r>
        <w:separator/>
      </w:r>
    </w:p>
  </w:footnote>
  <w:footnote w:type="continuationSeparator" w:id="0">
    <w:p w:rsidR="00371BDD" w:rsidRDefault="00371BDD" w:rsidP="00C71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08"/>
    <w:multiLevelType w:val="singleLevel"/>
    <w:tmpl w:val="00000008"/>
    <w:lvl w:ilvl="0">
      <w:start w:val="1"/>
      <w:numFmt w:val="decimal"/>
      <w:lvlText w:val="%1."/>
      <w:lvlJc w:val="left"/>
      <w:pPr>
        <w:tabs>
          <w:tab w:val="num" w:pos="360"/>
        </w:tabs>
        <w:ind w:left="357" w:hanging="357"/>
      </w:pPr>
      <w:rPr>
        <w:rFonts w:cs="Times New Roman" w:hint="default"/>
        <w:b w:val="0"/>
        <w:i w:val="0"/>
        <w:sz w:val="24"/>
        <w:szCs w:val="24"/>
      </w:rPr>
    </w:lvl>
  </w:abstractNum>
  <w:abstractNum w:abstractNumId="2" w15:restartNumberingAfterBreak="0">
    <w:nsid w:val="00000012"/>
    <w:multiLevelType w:val="multilevel"/>
    <w:tmpl w:val="00000012"/>
    <w:name w:val="WW8Num18"/>
    <w:lvl w:ilvl="0">
      <w:start w:val="3"/>
      <w:numFmt w:val="decimal"/>
      <w:lvlText w:val="%1."/>
      <w:lvlJc w:val="left"/>
      <w:pPr>
        <w:tabs>
          <w:tab w:val="num" w:pos="397"/>
        </w:tabs>
        <w:ind w:left="397" w:hanging="397"/>
      </w:pPr>
      <w:rPr>
        <w:rFonts w:cs="Times New Roman" w:hint="default"/>
        <w:color w:val="auto"/>
      </w:rPr>
    </w:lvl>
    <w:lvl w:ilvl="1">
      <w:start w:val="1"/>
      <w:numFmt w:val="lowerLetter"/>
      <w:lvlText w:val="%2."/>
      <w:lvlJc w:val="left"/>
      <w:pPr>
        <w:tabs>
          <w:tab w:val="num" w:pos="1440"/>
        </w:tabs>
        <w:ind w:left="1440" w:hanging="360"/>
      </w:pPr>
      <w:rPr>
        <w:rFonts w:ascii="Wingdings" w:hAnsi="Wingdings" w:cs="Wingdings" w:hint="default"/>
      </w:rPr>
    </w:lvl>
    <w:lvl w:ilvl="2">
      <w:start w:val="1"/>
      <w:numFmt w:val="lowerLetter"/>
      <w:lvlText w:val="%3)"/>
      <w:lvlJc w:val="left"/>
      <w:pPr>
        <w:tabs>
          <w:tab w:val="num" w:pos="737"/>
        </w:tabs>
        <w:ind w:left="737" w:hanging="380"/>
      </w:pPr>
      <w:rPr>
        <w:rFonts w:ascii="Wingdings" w:hAnsi="Wingdings" w:cs="Wingdings" w:hint="default"/>
      </w:rPr>
    </w:lvl>
    <w:lvl w:ilvl="3">
      <w:start w:val="1"/>
      <w:numFmt w:val="decimal"/>
      <w:lvlText w:val="%4."/>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rPr>
        <w:rFonts w:ascii="Wingdings" w:hAnsi="Wingdings" w:cs="Wingdings" w:hint="default"/>
      </w:rPr>
    </w:lvl>
    <w:lvl w:ilvl="5">
      <w:start w:val="1"/>
      <w:numFmt w:val="lowerRoman"/>
      <w:lvlText w:val="%6."/>
      <w:lvlJc w:val="right"/>
      <w:pPr>
        <w:tabs>
          <w:tab w:val="num" w:pos="4320"/>
        </w:tabs>
        <w:ind w:left="4320" w:hanging="180"/>
      </w:pPr>
      <w:rPr>
        <w:rFonts w:ascii="Wingdings" w:hAnsi="Wingdings" w:cs="Wingdings" w:hint="default"/>
      </w:rPr>
    </w:lvl>
    <w:lvl w:ilvl="6">
      <w:start w:val="1"/>
      <w:numFmt w:val="decimal"/>
      <w:lvlText w:val="%7."/>
      <w:lvlJc w:val="left"/>
      <w:pPr>
        <w:tabs>
          <w:tab w:val="num" w:pos="5040"/>
        </w:tabs>
        <w:ind w:left="5040" w:hanging="360"/>
      </w:pPr>
      <w:rPr>
        <w:rFonts w:ascii="Wingdings" w:hAnsi="Wingdings" w:cs="Wingdings" w:hint="default"/>
      </w:rPr>
    </w:lvl>
    <w:lvl w:ilvl="7">
      <w:start w:val="1"/>
      <w:numFmt w:val="lowerLetter"/>
      <w:lvlText w:val="%8."/>
      <w:lvlJc w:val="left"/>
      <w:pPr>
        <w:tabs>
          <w:tab w:val="num" w:pos="5760"/>
        </w:tabs>
        <w:ind w:left="5760" w:hanging="360"/>
      </w:pPr>
      <w:rPr>
        <w:rFonts w:ascii="Wingdings" w:hAnsi="Wingdings" w:cs="Wingdings" w:hint="default"/>
      </w:rPr>
    </w:lvl>
    <w:lvl w:ilvl="8">
      <w:start w:val="1"/>
      <w:numFmt w:val="lowerRoman"/>
      <w:lvlText w:val="%9."/>
      <w:lvlJc w:val="right"/>
      <w:pPr>
        <w:tabs>
          <w:tab w:val="num" w:pos="6480"/>
        </w:tabs>
        <w:ind w:left="6480" w:hanging="180"/>
      </w:pPr>
      <w:rPr>
        <w:rFonts w:ascii="Wingdings" w:hAnsi="Wingdings" w:cs="Wingdings" w:hint="default"/>
      </w:rPr>
    </w:lvl>
  </w:abstractNum>
  <w:abstractNum w:abstractNumId="3" w15:restartNumberingAfterBreak="0">
    <w:nsid w:val="0000001C"/>
    <w:multiLevelType w:val="singleLevel"/>
    <w:tmpl w:val="0000001C"/>
    <w:name w:val="WW8Num28"/>
    <w:lvl w:ilvl="0">
      <w:start w:val="1"/>
      <w:numFmt w:val="lowerLetter"/>
      <w:lvlText w:val="%1)"/>
      <w:lvlJc w:val="left"/>
      <w:pPr>
        <w:tabs>
          <w:tab w:val="num" w:pos="737"/>
        </w:tabs>
        <w:ind w:left="737" w:hanging="397"/>
      </w:pPr>
      <w:rPr>
        <w:rFonts w:cs="Times New Roman" w:hint="default"/>
      </w:rPr>
    </w:lvl>
  </w:abstractNum>
  <w:abstractNum w:abstractNumId="4" w15:restartNumberingAfterBreak="0">
    <w:nsid w:val="00000020"/>
    <w:multiLevelType w:val="multilevel"/>
    <w:tmpl w:val="3F36865E"/>
    <w:name w:val="WW8Num32"/>
    <w:lvl w:ilvl="0">
      <w:start w:val="1"/>
      <w:numFmt w:val="decimal"/>
      <w:lvlText w:val="%1."/>
      <w:lvlJc w:val="left"/>
      <w:pPr>
        <w:tabs>
          <w:tab w:val="num" w:pos="360"/>
        </w:tabs>
        <w:ind w:left="340" w:hanging="340"/>
      </w:pPr>
      <w:rPr>
        <w:rFonts w:cs="Times New Roman"/>
        <w:b w:val="0"/>
        <w:bCs/>
      </w:rPr>
    </w:lvl>
    <w:lvl w:ilvl="1">
      <w:start w:val="1"/>
      <w:numFmt w:val="lowerLetter"/>
      <w:lvlText w:val="%2)"/>
      <w:lvlJc w:val="left"/>
      <w:pPr>
        <w:tabs>
          <w:tab w:val="num" w:pos="737"/>
        </w:tabs>
        <w:ind w:left="737" w:hanging="380"/>
      </w:pPr>
      <w:rPr>
        <w:rFonts w:cs="Times New Roman"/>
        <w:b/>
        <w:bCs/>
      </w:rPr>
    </w:lvl>
    <w:lvl w:ilvl="2">
      <w:start w:val="1"/>
      <w:numFmt w:val="decimal"/>
      <w:lvlText w:val="%3."/>
      <w:lvlJc w:val="left"/>
      <w:pPr>
        <w:tabs>
          <w:tab w:val="num" w:pos="360"/>
        </w:tabs>
        <w:ind w:left="360" w:hanging="360"/>
      </w:pPr>
      <w:rPr>
        <w:rFonts w:cs="Times New Roman"/>
        <w:b w:val="0"/>
        <w:bC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EB6C4D"/>
    <w:multiLevelType w:val="hybridMultilevel"/>
    <w:tmpl w:val="121AB57A"/>
    <w:lvl w:ilvl="0" w:tplc="04050015">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F1133"/>
    <w:multiLevelType w:val="hybridMultilevel"/>
    <w:tmpl w:val="91808712"/>
    <w:lvl w:ilvl="0" w:tplc="CD9EA5F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04336E"/>
    <w:multiLevelType w:val="hybridMultilevel"/>
    <w:tmpl w:val="63F04A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B9A1197"/>
    <w:multiLevelType w:val="multilevel"/>
    <w:tmpl w:val="754A0D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5E1268"/>
    <w:multiLevelType w:val="multilevel"/>
    <w:tmpl w:val="7A9EA37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ECE417C"/>
    <w:multiLevelType w:val="hybridMultilevel"/>
    <w:tmpl w:val="F7787E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BC7A5C"/>
    <w:multiLevelType w:val="multilevel"/>
    <w:tmpl w:val="7A9EA37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5B10D0E"/>
    <w:multiLevelType w:val="hybridMultilevel"/>
    <w:tmpl w:val="121AB57A"/>
    <w:lvl w:ilvl="0" w:tplc="04050015">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A857B7"/>
    <w:multiLevelType w:val="hybridMultilevel"/>
    <w:tmpl w:val="DADA938A"/>
    <w:lvl w:ilvl="0" w:tplc="6B588AF4">
      <w:start w:val="1"/>
      <w:numFmt w:val="decimal"/>
      <w:pStyle w:val="Smlouva-slo"/>
      <w:lvlText w:val="%1."/>
      <w:lvlJc w:val="left"/>
      <w:pPr>
        <w:tabs>
          <w:tab w:val="num" w:pos="720"/>
        </w:tabs>
        <w:ind w:left="720" w:hanging="360"/>
      </w:pPr>
      <w:rPr>
        <w:rFonts w:cs="Times New Roman" w:hint="default"/>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B9171D2"/>
    <w:multiLevelType w:val="multilevel"/>
    <w:tmpl w:val="D0EA521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EF10CF"/>
    <w:multiLevelType w:val="hybridMultilevel"/>
    <w:tmpl w:val="311EA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543413"/>
    <w:multiLevelType w:val="multilevel"/>
    <w:tmpl w:val="7C44D99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A71547"/>
    <w:multiLevelType w:val="multilevel"/>
    <w:tmpl w:val="754A0D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1F3BB6"/>
    <w:multiLevelType w:val="multilevel"/>
    <w:tmpl w:val="0405001D"/>
    <w:styleLink w:val="Styl1"/>
    <w:lvl w:ilvl="0">
      <w:start w:val="3"/>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AC4BBC"/>
    <w:multiLevelType w:val="hybridMultilevel"/>
    <w:tmpl w:val="570CE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D74017"/>
    <w:multiLevelType w:val="hybridMultilevel"/>
    <w:tmpl w:val="D3C61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EBD3D2E"/>
    <w:multiLevelType w:val="multilevel"/>
    <w:tmpl w:val="5502A696"/>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33D73AC"/>
    <w:multiLevelType w:val="multilevel"/>
    <w:tmpl w:val="5502A69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D32331"/>
    <w:multiLevelType w:val="multilevel"/>
    <w:tmpl w:val="90046D40"/>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FE76A2"/>
    <w:multiLevelType w:val="hybridMultilevel"/>
    <w:tmpl w:val="A156111A"/>
    <w:lvl w:ilvl="0" w:tplc="DA64DE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BC77A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A86386"/>
    <w:multiLevelType w:val="hybridMultilevel"/>
    <w:tmpl w:val="916C581A"/>
    <w:lvl w:ilvl="0" w:tplc="D9B803D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D71555"/>
    <w:multiLevelType w:val="multilevel"/>
    <w:tmpl w:val="314232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19"/>
  </w:num>
  <w:num w:numId="3">
    <w:abstractNumId w:val="6"/>
  </w:num>
  <w:num w:numId="4">
    <w:abstractNumId w:val="22"/>
  </w:num>
  <w:num w:numId="5">
    <w:abstractNumId w:val="24"/>
  </w:num>
  <w:num w:numId="6">
    <w:abstractNumId w:val="8"/>
  </w:num>
  <w:num w:numId="7">
    <w:abstractNumId w:val="25"/>
  </w:num>
  <w:num w:numId="8">
    <w:abstractNumId w:val="17"/>
  </w:num>
  <w:num w:numId="9">
    <w:abstractNumId w:val="27"/>
  </w:num>
  <w:num w:numId="10">
    <w:abstractNumId w:val="21"/>
  </w:num>
  <w:num w:numId="11">
    <w:abstractNumId w:val="23"/>
  </w:num>
  <w:num w:numId="12">
    <w:abstractNumId w:val="2"/>
  </w:num>
  <w:num w:numId="13">
    <w:abstractNumId w:val="4"/>
  </w:num>
  <w:num w:numId="14">
    <w:abstractNumId w:val="0"/>
  </w:num>
  <w:num w:numId="15">
    <w:abstractNumId w:val="3"/>
  </w:num>
  <w:num w:numId="16">
    <w:abstractNumId w:val="13"/>
  </w:num>
  <w:num w:numId="17">
    <w:abstractNumId w:val="1"/>
  </w:num>
  <w:num w:numId="18">
    <w:abstractNumId w:val="14"/>
  </w:num>
  <w:num w:numId="19">
    <w:abstractNumId w:val="11"/>
  </w:num>
  <w:num w:numId="20">
    <w:abstractNumId w:val="9"/>
  </w:num>
  <w:num w:numId="21">
    <w:abstractNumId w:val="22"/>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2">
    <w:abstractNumId w:val="22"/>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center"/>
        <w:pPr>
          <w:ind w:left="720" w:hanging="432"/>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3">
    <w:abstractNumId w:val="22"/>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right"/>
        <w:pPr>
          <w:ind w:left="720" w:hanging="432"/>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4">
    <w:abstractNumId w:val="22"/>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432"/>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5">
    <w:abstractNumId w:val="22"/>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6">
    <w:abstractNumId w:val="22"/>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7">
    <w:abstractNumId w:val="22"/>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493"/>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8">
    <w:abstractNumId w:val="22"/>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493"/>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9">
    <w:abstractNumId w:val="22"/>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493"/>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0">
    <w:abstractNumId w:val="22"/>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493"/>
        </w:pPr>
        <w:rPr>
          <w:rFonts w:hint="default"/>
        </w:rPr>
      </w:lvl>
    </w:lvlOverride>
    <w:lvlOverride w:ilvl="2">
      <w:lvl w:ilvl="2">
        <w:start w:val="1"/>
        <w:numFmt w:val="decimal"/>
        <w:isLgl/>
        <w:lvlText w:val="%1.%2.%3"/>
        <w:lvlJc w:val="left"/>
        <w:pPr>
          <w:ind w:left="1247" w:hanging="887"/>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1">
    <w:abstractNumId w:val="22"/>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493"/>
        </w:pPr>
        <w:rPr>
          <w:rFonts w:hint="default"/>
        </w:rPr>
      </w:lvl>
    </w:lvlOverride>
    <w:lvlOverride w:ilvl="2">
      <w:lvl w:ilvl="2">
        <w:start w:val="1"/>
        <w:numFmt w:val="decimal"/>
        <w:isLgl/>
        <w:lvlText w:val="%1.%2.%3"/>
        <w:lvlJc w:val="left"/>
        <w:pPr>
          <w:ind w:left="1247" w:hanging="68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2">
    <w:abstractNumId w:val="22"/>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493"/>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3">
    <w:abstractNumId w:val="22"/>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493"/>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4">
    <w:abstractNumId w:val="22"/>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493"/>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5">
    <w:abstractNumId w:val="7"/>
  </w:num>
  <w:num w:numId="36">
    <w:abstractNumId w:val="5"/>
  </w:num>
  <w:num w:numId="37">
    <w:abstractNumId w:val="15"/>
  </w:num>
  <w:num w:numId="38">
    <w:abstractNumId w:val="12"/>
  </w:num>
  <w:num w:numId="39">
    <w:abstractNumId w:val="10"/>
  </w:num>
  <w:num w:numId="40">
    <w:abstractNumId w:val="18"/>
  </w:num>
  <w:num w:numId="41">
    <w:abstractNumId w:val="2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90D"/>
    <w:rsid w:val="00007090"/>
    <w:rsid w:val="00033A68"/>
    <w:rsid w:val="00042D4D"/>
    <w:rsid w:val="00066FA0"/>
    <w:rsid w:val="00067C4F"/>
    <w:rsid w:val="000803AB"/>
    <w:rsid w:val="0009213C"/>
    <w:rsid w:val="00096285"/>
    <w:rsid w:val="000C0541"/>
    <w:rsid w:val="000C3579"/>
    <w:rsid w:val="000D25AF"/>
    <w:rsid w:val="000D461A"/>
    <w:rsid w:val="000D6BCC"/>
    <w:rsid w:val="000F1AC1"/>
    <w:rsid w:val="000F4942"/>
    <w:rsid w:val="001217A1"/>
    <w:rsid w:val="0012366A"/>
    <w:rsid w:val="00142874"/>
    <w:rsid w:val="00142E16"/>
    <w:rsid w:val="0014624E"/>
    <w:rsid w:val="00150166"/>
    <w:rsid w:val="00160A4A"/>
    <w:rsid w:val="00172996"/>
    <w:rsid w:val="00195B08"/>
    <w:rsid w:val="001A034B"/>
    <w:rsid w:val="001A17FF"/>
    <w:rsid w:val="001A39DA"/>
    <w:rsid w:val="001A5190"/>
    <w:rsid w:val="001B473D"/>
    <w:rsid w:val="001B747B"/>
    <w:rsid w:val="001C040F"/>
    <w:rsid w:val="001D2562"/>
    <w:rsid w:val="001F68D9"/>
    <w:rsid w:val="002011CE"/>
    <w:rsid w:val="00230706"/>
    <w:rsid w:val="002359C9"/>
    <w:rsid w:val="0025596F"/>
    <w:rsid w:val="00270B20"/>
    <w:rsid w:val="00294B04"/>
    <w:rsid w:val="002B1164"/>
    <w:rsid w:val="002D41DE"/>
    <w:rsid w:val="002E1931"/>
    <w:rsid w:val="002E5583"/>
    <w:rsid w:val="002F5A6F"/>
    <w:rsid w:val="002F60F1"/>
    <w:rsid w:val="00303A70"/>
    <w:rsid w:val="00321942"/>
    <w:rsid w:val="00327BE9"/>
    <w:rsid w:val="0033564A"/>
    <w:rsid w:val="00355D70"/>
    <w:rsid w:val="00357992"/>
    <w:rsid w:val="00362A17"/>
    <w:rsid w:val="00362CFD"/>
    <w:rsid w:val="00371BDD"/>
    <w:rsid w:val="003A4504"/>
    <w:rsid w:val="003D54F4"/>
    <w:rsid w:val="003E78B4"/>
    <w:rsid w:val="00402DF9"/>
    <w:rsid w:val="00410AB3"/>
    <w:rsid w:val="00422026"/>
    <w:rsid w:val="004322AF"/>
    <w:rsid w:val="00435316"/>
    <w:rsid w:val="00460E27"/>
    <w:rsid w:val="004744EC"/>
    <w:rsid w:val="00480387"/>
    <w:rsid w:val="00497B15"/>
    <w:rsid w:val="004A6E10"/>
    <w:rsid w:val="004B2075"/>
    <w:rsid w:val="004B22C4"/>
    <w:rsid w:val="004B3A9B"/>
    <w:rsid w:val="004C4E18"/>
    <w:rsid w:val="004D18FC"/>
    <w:rsid w:val="00505882"/>
    <w:rsid w:val="00513096"/>
    <w:rsid w:val="0051388C"/>
    <w:rsid w:val="00513A4F"/>
    <w:rsid w:val="00543B1B"/>
    <w:rsid w:val="0054542A"/>
    <w:rsid w:val="005458AB"/>
    <w:rsid w:val="00563995"/>
    <w:rsid w:val="00564646"/>
    <w:rsid w:val="00570338"/>
    <w:rsid w:val="00576D32"/>
    <w:rsid w:val="00582C9B"/>
    <w:rsid w:val="00584D42"/>
    <w:rsid w:val="005A6CF5"/>
    <w:rsid w:val="005B6A9B"/>
    <w:rsid w:val="005D56E3"/>
    <w:rsid w:val="005D57D4"/>
    <w:rsid w:val="005D6EF2"/>
    <w:rsid w:val="005F2D52"/>
    <w:rsid w:val="00605C4C"/>
    <w:rsid w:val="00607DD7"/>
    <w:rsid w:val="00635F85"/>
    <w:rsid w:val="0064438F"/>
    <w:rsid w:val="006559CD"/>
    <w:rsid w:val="0065667C"/>
    <w:rsid w:val="00657D0B"/>
    <w:rsid w:val="00664DF6"/>
    <w:rsid w:val="0067090D"/>
    <w:rsid w:val="0068480A"/>
    <w:rsid w:val="006A0832"/>
    <w:rsid w:val="006C4D28"/>
    <w:rsid w:val="006D174E"/>
    <w:rsid w:val="006E47BA"/>
    <w:rsid w:val="00726BB2"/>
    <w:rsid w:val="00744CF3"/>
    <w:rsid w:val="00757964"/>
    <w:rsid w:val="007739AB"/>
    <w:rsid w:val="007764A8"/>
    <w:rsid w:val="00780308"/>
    <w:rsid w:val="00782327"/>
    <w:rsid w:val="00782B4A"/>
    <w:rsid w:val="0079714C"/>
    <w:rsid w:val="007B05F8"/>
    <w:rsid w:val="007B3C7A"/>
    <w:rsid w:val="007B7E2C"/>
    <w:rsid w:val="007C14A0"/>
    <w:rsid w:val="007C3C95"/>
    <w:rsid w:val="007D0340"/>
    <w:rsid w:val="007F44DF"/>
    <w:rsid w:val="00843933"/>
    <w:rsid w:val="00851927"/>
    <w:rsid w:val="00861C4B"/>
    <w:rsid w:val="00875206"/>
    <w:rsid w:val="0088213F"/>
    <w:rsid w:val="008B171C"/>
    <w:rsid w:val="008B2BAB"/>
    <w:rsid w:val="008D7667"/>
    <w:rsid w:val="008E237D"/>
    <w:rsid w:val="008F47D8"/>
    <w:rsid w:val="00917109"/>
    <w:rsid w:val="00932939"/>
    <w:rsid w:val="00936E38"/>
    <w:rsid w:val="0095327E"/>
    <w:rsid w:val="0099210A"/>
    <w:rsid w:val="00992BDB"/>
    <w:rsid w:val="009C1242"/>
    <w:rsid w:val="009C2D64"/>
    <w:rsid w:val="009C3F85"/>
    <w:rsid w:val="009D3561"/>
    <w:rsid w:val="009D4AAD"/>
    <w:rsid w:val="009E01BC"/>
    <w:rsid w:val="009F1AFC"/>
    <w:rsid w:val="009F2C75"/>
    <w:rsid w:val="00A20671"/>
    <w:rsid w:val="00A22A3A"/>
    <w:rsid w:val="00A369FB"/>
    <w:rsid w:val="00A40223"/>
    <w:rsid w:val="00A45E67"/>
    <w:rsid w:val="00A47170"/>
    <w:rsid w:val="00A56E1D"/>
    <w:rsid w:val="00A7222A"/>
    <w:rsid w:val="00A8200A"/>
    <w:rsid w:val="00A82233"/>
    <w:rsid w:val="00A87F6C"/>
    <w:rsid w:val="00AA418C"/>
    <w:rsid w:val="00AA4EA2"/>
    <w:rsid w:val="00AC1289"/>
    <w:rsid w:val="00AE3E1B"/>
    <w:rsid w:val="00B1775B"/>
    <w:rsid w:val="00B32493"/>
    <w:rsid w:val="00B360D3"/>
    <w:rsid w:val="00B44A18"/>
    <w:rsid w:val="00B56C29"/>
    <w:rsid w:val="00B62EE4"/>
    <w:rsid w:val="00B641C3"/>
    <w:rsid w:val="00B83F47"/>
    <w:rsid w:val="00B93B5B"/>
    <w:rsid w:val="00B97716"/>
    <w:rsid w:val="00B97CD8"/>
    <w:rsid w:val="00BA2F23"/>
    <w:rsid w:val="00BD6705"/>
    <w:rsid w:val="00BE75EB"/>
    <w:rsid w:val="00C01E7D"/>
    <w:rsid w:val="00C0567B"/>
    <w:rsid w:val="00C2640E"/>
    <w:rsid w:val="00C4014B"/>
    <w:rsid w:val="00C46EFE"/>
    <w:rsid w:val="00C71154"/>
    <w:rsid w:val="00C77A7C"/>
    <w:rsid w:val="00C77D5F"/>
    <w:rsid w:val="00C93EBE"/>
    <w:rsid w:val="00C9413D"/>
    <w:rsid w:val="00C96A05"/>
    <w:rsid w:val="00CA26E7"/>
    <w:rsid w:val="00CA34DE"/>
    <w:rsid w:val="00CB7B1D"/>
    <w:rsid w:val="00CD57C4"/>
    <w:rsid w:val="00CD72D0"/>
    <w:rsid w:val="00CD7E77"/>
    <w:rsid w:val="00CE0A64"/>
    <w:rsid w:val="00D07F41"/>
    <w:rsid w:val="00D137A2"/>
    <w:rsid w:val="00D509F0"/>
    <w:rsid w:val="00D6113A"/>
    <w:rsid w:val="00D67307"/>
    <w:rsid w:val="00D70942"/>
    <w:rsid w:val="00D7303D"/>
    <w:rsid w:val="00D81AC2"/>
    <w:rsid w:val="00D83FF3"/>
    <w:rsid w:val="00D93491"/>
    <w:rsid w:val="00DB2BC7"/>
    <w:rsid w:val="00DB586C"/>
    <w:rsid w:val="00DC212D"/>
    <w:rsid w:val="00DC7A87"/>
    <w:rsid w:val="00DE0F48"/>
    <w:rsid w:val="00DE656A"/>
    <w:rsid w:val="00E0063E"/>
    <w:rsid w:val="00E0352C"/>
    <w:rsid w:val="00E25ECA"/>
    <w:rsid w:val="00E511C6"/>
    <w:rsid w:val="00E77DD6"/>
    <w:rsid w:val="00E92386"/>
    <w:rsid w:val="00E96650"/>
    <w:rsid w:val="00E97483"/>
    <w:rsid w:val="00EB04F6"/>
    <w:rsid w:val="00EB1B26"/>
    <w:rsid w:val="00EC5426"/>
    <w:rsid w:val="00EE3C63"/>
    <w:rsid w:val="00EF0255"/>
    <w:rsid w:val="00EF3DBF"/>
    <w:rsid w:val="00F02FB5"/>
    <w:rsid w:val="00F05E8B"/>
    <w:rsid w:val="00F16C10"/>
    <w:rsid w:val="00F2467D"/>
    <w:rsid w:val="00F30978"/>
    <w:rsid w:val="00F35FCF"/>
    <w:rsid w:val="00F43BC3"/>
    <w:rsid w:val="00F50030"/>
    <w:rsid w:val="00F600C8"/>
    <w:rsid w:val="00F7264F"/>
    <w:rsid w:val="00F7546F"/>
    <w:rsid w:val="00F761AD"/>
    <w:rsid w:val="00F82798"/>
    <w:rsid w:val="00FA7698"/>
    <w:rsid w:val="00FA7979"/>
    <w:rsid w:val="00FB1346"/>
    <w:rsid w:val="00FC7D75"/>
    <w:rsid w:val="00FE452A"/>
    <w:rsid w:val="00FE70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7C1E"/>
  <w15:docId w15:val="{C7127E80-1694-4D3B-A1E4-9CC09F04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9771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090D"/>
    <w:pPr>
      <w:ind w:left="720"/>
      <w:contextualSpacing/>
    </w:pPr>
  </w:style>
  <w:style w:type="character" w:styleId="Hypertextovodkaz">
    <w:name w:val="Hyperlink"/>
    <w:basedOn w:val="Standardnpsmoodstavce"/>
    <w:uiPriority w:val="99"/>
    <w:unhideWhenUsed/>
    <w:rsid w:val="005B6A9B"/>
    <w:rPr>
      <w:color w:val="0000FF" w:themeColor="hyperlink"/>
      <w:u w:val="single"/>
    </w:rPr>
  </w:style>
  <w:style w:type="character" w:styleId="Odkaznakoment">
    <w:name w:val="annotation reference"/>
    <w:basedOn w:val="Standardnpsmoodstavce"/>
    <w:uiPriority w:val="99"/>
    <w:semiHidden/>
    <w:unhideWhenUsed/>
    <w:rsid w:val="00992BDB"/>
    <w:rPr>
      <w:sz w:val="16"/>
      <w:szCs w:val="16"/>
    </w:rPr>
  </w:style>
  <w:style w:type="paragraph" w:styleId="Textkomente">
    <w:name w:val="annotation text"/>
    <w:basedOn w:val="Normln"/>
    <w:link w:val="TextkomenteChar"/>
    <w:uiPriority w:val="99"/>
    <w:semiHidden/>
    <w:unhideWhenUsed/>
    <w:rsid w:val="00992BDB"/>
    <w:pPr>
      <w:spacing w:line="240" w:lineRule="auto"/>
    </w:pPr>
    <w:rPr>
      <w:sz w:val="20"/>
      <w:szCs w:val="20"/>
    </w:rPr>
  </w:style>
  <w:style w:type="character" w:customStyle="1" w:styleId="TextkomenteChar">
    <w:name w:val="Text komentáře Char"/>
    <w:basedOn w:val="Standardnpsmoodstavce"/>
    <w:link w:val="Textkomente"/>
    <w:uiPriority w:val="99"/>
    <w:semiHidden/>
    <w:rsid w:val="00992BDB"/>
    <w:rPr>
      <w:sz w:val="20"/>
      <w:szCs w:val="20"/>
    </w:rPr>
  </w:style>
  <w:style w:type="paragraph" w:styleId="Pedmtkomente">
    <w:name w:val="annotation subject"/>
    <w:basedOn w:val="Textkomente"/>
    <w:next w:val="Textkomente"/>
    <w:link w:val="PedmtkomenteChar"/>
    <w:uiPriority w:val="99"/>
    <w:semiHidden/>
    <w:unhideWhenUsed/>
    <w:rsid w:val="00992BDB"/>
    <w:rPr>
      <w:b/>
      <w:bCs/>
    </w:rPr>
  </w:style>
  <w:style w:type="character" w:customStyle="1" w:styleId="PedmtkomenteChar">
    <w:name w:val="Předmět komentáře Char"/>
    <w:basedOn w:val="TextkomenteChar"/>
    <w:link w:val="Pedmtkomente"/>
    <w:uiPriority w:val="99"/>
    <w:semiHidden/>
    <w:rsid w:val="00992BDB"/>
    <w:rPr>
      <w:b/>
      <w:bCs/>
      <w:sz w:val="20"/>
      <w:szCs w:val="20"/>
    </w:rPr>
  </w:style>
  <w:style w:type="paragraph" w:styleId="Textbubliny">
    <w:name w:val="Balloon Text"/>
    <w:basedOn w:val="Normln"/>
    <w:link w:val="TextbublinyChar"/>
    <w:uiPriority w:val="99"/>
    <w:semiHidden/>
    <w:unhideWhenUsed/>
    <w:rsid w:val="00992B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2BDB"/>
    <w:rPr>
      <w:rFonts w:ascii="Segoe UI" w:hAnsi="Segoe UI" w:cs="Segoe UI"/>
      <w:sz w:val="18"/>
      <w:szCs w:val="18"/>
    </w:rPr>
  </w:style>
  <w:style w:type="paragraph" w:customStyle="1" w:styleId="Smlouva2">
    <w:name w:val="Smlouva2"/>
    <w:basedOn w:val="Normln"/>
    <w:uiPriority w:val="99"/>
    <w:rsid w:val="00A82233"/>
    <w:pPr>
      <w:widowControl w:val="0"/>
      <w:spacing w:before="120" w:after="0" w:line="240" w:lineRule="auto"/>
      <w:ind w:left="425" w:hanging="425"/>
      <w:jc w:val="center"/>
    </w:pPr>
    <w:rPr>
      <w:rFonts w:ascii="Times New Roman" w:eastAsia="Times New Roman" w:hAnsi="Times New Roman" w:cs="Times New Roman"/>
      <w:b/>
      <w:sz w:val="24"/>
      <w:szCs w:val="20"/>
      <w:lang w:eastAsia="ar-SA"/>
    </w:rPr>
  </w:style>
  <w:style w:type="paragraph" w:customStyle="1" w:styleId="Smlouva-slo">
    <w:name w:val="Smlouva-číslo"/>
    <w:basedOn w:val="Normln"/>
    <w:uiPriority w:val="99"/>
    <w:rsid w:val="00A82233"/>
    <w:pPr>
      <w:widowControl w:val="0"/>
      <w:numPr>
        <w:numId w:val="16"/>
      </w:numPr>
      <w:spacing w:before="120" w:after="0" w:line="240" w:lineRule="atLeast"/>
      <w:jc w:val="both"/>
    </w:pPr>
    <w:rPr>
      <w:rFonts w:ascii="Times New Roman" w:eastAsia="Times New Roman" w:hAnsi="Times New Roman" w:cs="Times New Roman"/>
      <w:sz w:val="24"/>
      <w:szCs w:val="20"/>
      <w:lang w:eastAsia="ar-SA"/>
    </w:rPr>
  </w:style>
  <w:style w:type="paragraph" w:styleId="Zhlav">
    <w:name w:val="header"/>
    <w:basedOn w:val="Normln"/>
    <w:link w:val="ZhlavChar"/>
    <w:uiPriority w:val="99"/>
    <w:unhideWhenUsed/>
    <w:rsid w:val="00C711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1154"/>
  </w:style>
  <w:style w:type="paragraph" w:styleId="Zpat">
    <w:name w:val="footer"/>
    <w:basedOn w:val="Normln"/>
    <w:link w:val="ZpatChar"/>
    <w:uiPriority w:val="99"/>
    <w:unhideWhenUsed/>
    <w:rsid w:val="00C71154"/>
    <w:pPr>
      <w:tabs>
        <w:tab w:val="center" w:pos="4536"/>
        <w:tab w:val="right" w:pos="9072"/>
      </w:tabs>
      <w:spacing w:after="0" w:line="240" w:lineRule="auto"/>
    </w:pPr>
  </w:style>
  <w:style w:type="character" w:customStyle="1" w:styleId="ZpatChar">
    <w:name w:val="Zápatí Char"/>
    <w:basedOn w:val="Standardnpsmoodstavce"/>
    <w:link w:val="Zpat"/>
    <w:uiPriority w:val="99"/>
    <w:rsid w:val="00C71154"/>
  </w:style>
  <w:style w:type="table" w:styleId="Mkatabulky">
    <w:name w:val="Table Grid"/>
    <w:basedOn w:val="Normlntabulka"/>
    <w:uiPriority w:val="39"/>
    <w:rsid w:val="0006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B360D3"/>
    <w:pPr>
      <w:numPr>
        <w:numId w:val="40"/>
      </w:numPr>
    </w:pPr>
  </w:style>
  <w:style w:type="paragraph" w:customStyle="1" w:styleId="Default">
    <w:name w:val="Default"/>
    <w:rsid w:val="00F02FB5"/>
    <w:pPr>
      <w:suppressAutoHyphens/>
      <w:autoSpaceDN w:val="0"/>
      <w:spacing w:after="0" w:line="240" w:lineRule="auto"/>
      <w:textAlignment w:val="baseline"/>
    </w:pPr>
    <w:rPr>
      <w:rFonts w:ascii="Times New Roman" w:eastAsia="SimSun" w:hAnsi="Times New Roman" w:cs="Times New Roman"/>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pitrak@domovdobrichov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10586-7813-472A-B0D1-86320346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1921</Words>
  <Characters>11336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Kačanyiová</dc:creator>
  <cp:lastModifiedBy>Robert Pitrák</cp:lastModifiedBy>
  <cp:revision>3</cp:revision>
  <cp:lastPrinted>2018-11-19T15:13:00Z</cp:lastPrinted>
  <dcterms:created xsi:type="dcterms:W3CDTF">2019-09-16T11:35:00Z</dcterms:created>
  <dcterms:modified xsi:type="dcterms:W3CDTF">2019-09-16T11:46:00Z</dcterms:modified>
</cp:coreProperties>
</file>